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5A" w:rsidRPr="00404349" w:rsidRDefault="000D7A5A" w:rsidP="000D7A5A">
      <w:pPr>
        <w:rPr>
          <w:b/>
          <w:bCs/>
        </w:rPr>
      </w:pPr>
      <w:r w:rsidRPr="00404349">
        <w:rPr>
          <w:b/>
          <w:bCs/>
        </w:rPr>
        <w:t>Le Syndicat National des Journalistes Tunisiens</w:t>
      </w:r>
    </w:p>
    <w:p w:rsidR="000D7A5A" w:rsidRDefault="000D7A5A" w:rsidP="00404349">
      <w:pPr>
        <w:rPr>
          <w:b/>
          <w:bCs/>
        </w:rPr>
      </w:pPr>
      <w:r w:rsidRPr="00404349">
        <w:rPr>
          <w:b/>
          <w:bCs/>
        </w:rPr>
        <w:t xml:space="preserve">Unité de Monitoring et de Documentation </w:t>
      </w:r>
      <w:r w:rsidR="00404349" w:rsidRPr="00404349">
        <w:rPr>
          <w:b/>
          <w:bCs/>
        </w:rPr>
        <w:t>des</w:t>
      </w:r>
      <w:r w:rsidRPr="00404349">
        <w:rPr>
          <w:b/>
          <w:bCs/>
        </w:rPr>
        <w:t xml:space="preserve"> Atteintes Portées aux Journalistes au sein du SNJT</w:t>
      </w:r>
    </w:p>
    <w:p w:rsidR="00404349" w:rsidRDefault="00404349" w:rsidP="00404349">
      <w:pPr>
        <w:rPr>
          <w:b/>
          <w:bCs/>
        </w:rPr>
      </w:pPr>
    </w:p>
    <w:p w:rsidR="00404349" w:rsidRDefault="00404349" w:rsidP="00404349">
      <w:pPr>
        <w:rPr>
          <w:b/>
          <w:bCs/>
          <w:sz w:val="28"/>
          <w:szCs w:val="28"/>
        </w:rPr>
      </w:pPr>
    </w:p>
    <w:p w:rsidR="00404349" w:rsidRPr="00404349" w:rsidRDefault="00404349" w:rsidP="00A77C7F">
      <w:pPr>
        <w:jc w:val="center"/>
        <w:rPr>
          <w:b/>
          <w:bCs/>
          <w:sz w:val="28"/>
          <w:szCs w:val="28"/>
        </w:rPr>
      </w:pPr>
      <w:r w:rsidRPr="00404349">
        <w:rPr>
          <w:b/>
          <w:bCs/>
          <w:sz w:val="28"/>
          <w:szCs w:val="28"/>
        </w:rPr>
        <w:t>Rapport de Juin 2023 - Sommaire exécutif</w:t>
      </w:r>
    </w:p>
    <w:p w:rsidR="00404349" w:rsidRPr="00404349" w:rsidRDefault="00404349" w:rsidP="00404349">
      <w:pPr>
        <w:rPr>
          <w:b/>
          <w:bCs/>
        </w:rPr>
      </w:pPr>
    </w:p>
    <w:p w:rsidR="00085A5F" w:rsidRDefault="000D7A5A" w:rsidP="008E6B66">
      <w:pPr>
        <w:jc w:val="both"/>
      </w:pPr>
      <w:r>
        <w:t>Les attaques contre les journalistes et photo</w:t>
      </w:r>
      <w:r w:rsidR="00404349">
        <w:t>journalistes</w:t>
      </w:r>
      <w:r w:rsidR="008E6B66">
        <w:t>, femmes et hommes,</w:t>
      </w:r>
      <w:r>
        <w:t xml:space="preserve"> se sont poursuivies de la même manière au cours du mois de juin 2023</w:t>
      </w:r>
      <w:r w:rsidR="008E6B66">
        <w:t>.</w:t>
      </w:r>
      <w:r w:rsidR="00A77C7F" w:rsidRPr="00A77C7F">
        <w:t xml:space="preserve"> </w:t>
      </w:r>
      <w:r w:rsidR="008E6B66">
        <w:t>L</w:t>
      </w:r>
      <w:r w:rsidR="00A77C7F">
        <w:t>’</w:t>
      </w:r>
      <w:r w:rsidR="00A77C7F" w:rsidRPr="00A77C7F">
        <w:t>Unité de Monitoring et de Documentation des Atteintes Portées aux Journalistes au sein du SNJT</w:t>
      </w:r>
      <w:r w:rsidR="008E6B66">
        <w:t xml:space="preserve"> </w:t>
      </w:r>
      <w:r>
        <w:t>a</w:t>
      </w:r>
      <w:r w:rsidR="008E6B66">
        <w:t>, ce mois-ci,</w:t>
      </w:r>
      <w:r>
        <w:t xml:space="preserve"> enregistré 16 attaque</w:t>
      </w:r>
      <w:r w:rsidR="008E6B66">
        <w:t xml:space="preserve">s sur les 20 notifications reçues des </w:t>
      </w:r>
      <w:r>
        <w:t>réseaux sociaux, des médias</w:t>
      </w:r>
      <w:r w:rsidR="008E6B66">
        <w:t xml:space="preserve"> ou</w:t>
      </w:r>
      <w:r>
        <w:t xml:space="preserve"> par </w:t>
      </w:r>
      <w:r w:rsidR="008E6B66">
        <w:t>contact direct avec d</w:t>
      </w:r>
      <w:r>
        <w:t>es victimes d'agressions ou des témoins oculaires.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5D78" w:rsidTr="005A5D78">
        <w:trPr>
          <w:trHeight w:val="488"/>
        </w:trPr>
        <w:tc>
          <w:tcPr>
            <w:tcW w:w="2265" w:type="dxa"/>
          </w:tcPr>
          <w:p w:rsidR="005A5D78" w:rsidRPr="005A5D78" w:rsidRDefault="005A5D78" w:rsidP="008E6B66">
            <w:pPr>
              <w:jc w:val="both"/>
              <w:rPr>
                <w:b/>
                <w:bCs/>
              </w:rPr>
            </w:pPr>
            <w:r w:rsidRPr="005A5D78">
              <w:rPr>
                <w:b/>
                <w:bCs/>
              </w:rPr>
              <w:t>Mois</w:t>
            </w:r>
          </w:p>
        </w:tc>
        <w:tc>
          <w:tcPr>
            <w:tcW w:w="2265" w:type="dxa"/>
          </w:tcPr>
          <w:p w:rsidR="005A5D78" w:rsidRPr="005A5D78" w:rsidRDefault="005A5D78" w:rsidP="005A5D78">
            <w:pPr>
              <w:jc w:val="center"/>
              <w:rPr>
                <w:b/>
                <w:bCs/>
              </w:rPr>
            </w:pPr>
            <w:r w:rsidRPr="005A5D78">
              <w:rPr>
                <w:b/>
                <w:bCs/>
              </w:rPr>
              <w:t>Avril 2023</w:t>
            </w:r>
          </w:p>
        </w:tc>
        <w:tc>
          <w:tcPr>
            <w:tcW w:w="2266" w:type="dxa"/>
          </w:tcPr>
          <w:p w:rsidR="005A5D78" w:rsidRPr="005A5D78" w:rsidRDefault="005A5D78" w:rsidP="005A5D78">
            <w:pPr>
              <w:jc w:val="center"/>
              <w:rPr>
                <w:b/>
                <w:bCs/>
              </w:rPr>
            </w:pPr>
            <w:r w:rsidRPr="005A5D78">
              <w:rPr>
                <w:b/>
                <w:bCs/>
              </w:rPr>
              <w:t>Mai 2023</w:t>
            </w:r>
          </w:p>
        </w:tc>
        <w:tc>
          <w:tcPr>
            <w:tcW w:w="2266" w:type="dxa"/>
          </w:tcPr>
          <w:p w:rsidR="005A5D78" w:rsidRPr="005A5D78" w:rsidRDefault="005A5D78" w:rsidP="005A5D78">
            <w:pPr>
              <w:jc w:val="center"/>
              <w:rPr>
                <w:b/>
                <w:bCs/>
              </w:rPr>
            </w:pPr>
            <w:r w:rsidRPr="005A5D78">
              <w:rPr>
                <w:b/>
                <w:bCs/>
              </w:rPr>
              <w:t>Juin 2023</w:t>
            </w:r>
          </w:p>
        </w:tc>
      </w:tr>
      <w:tr w:rsidR="005A5D78" w:rsidTr="005A5D78">
        <w:trPr>
          <w:trHeight w:val="424"/>
        </w:trPr>
        <w:tc>
          <w:tcPr>
            <w:tcW w:w="2265" w:type="dxa"/>
          </w:tcPr>
          <w:p w:rsidR="005A5D78" w:rsidRPr="005A5D78" w:rsidRDefault="005A5D78" w:rsidP="008E6B66">
            <w:pPr>
              <w:jc w:val="both"/>
              <w:rPr>
                <w:b/>
                <w:bCs/>
              </w:rPr>
            </w:pPr>
            <w:r w:rsidRPr="005A5D78">
              <w:rPr>
                <w:b/>
                <w:bCs/>
              </w:rPr>
              <w:t>Nombre d’agressions</w:t>
            </w:r>
          </w:p>
        </w:tc>
        <w:tc>
          <w:tcPr>
            <w:tcW w:w="2265" w:type="dxa"/>
          </w:tcPr>
          <w:p w:rsidR="005A5D78" w:rsidRDefault="005A5D78" w:rsidP="005A5D78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5A5D78" w:rsidRDefault="005A5D78" w:rsidP="005A5D78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5A5D78" w:rsidRDefault="005A5D78" w:rsidP="005A5D78">
            <w:pPr>
              <w:jc w:val="center"/>
            </w:pPr>
            <w:r>
              <w:t>16</w:t>
            </w:r>
          </w:p>
        </w:tc>
      </w:tr>
    </w:tbl>
    <w:p w:rsidR="005A5D78" w:rsidRDefault="005A5D78" w:rsidP="008E6B66">
      <w:pPr>
        <w:jc w:val="both"/>
      </w:pPr>
    </w:p>
    <w:p w:rsidR="005A5D78" w:rsidRDefault="005A5D78" w:rsidP="00E20096">
      <w:pPr>
        <w:jc w:val="both"/>
      </w:pPr>
      <w:r>
        <w:t>Les a</w:t>
      </w:r>
      <w:r w:rsidR="00E20096">
        <w:t>gressions</w:t>
      </w:r>
      <w:r>
        <w:t xml:space="preserve"> ont touché 27 victimes, réparties selon le </w:t>
      </w:r>
      <w:r>
        <w:t>genre,</w:t>
      </w:r>
      <w:r>
        <w:t xml:space="preserve"> 15 femmes et 12 hommes, et </w:t>
      </w:r>
      <w:r>
        <w:t>selon le poste occupé,</w:t>
      </w:r>
      <w:r>
        <w:t xml:space="preserve"> 24 journalistes hommes et femmes et 3 photojournalistes.</w:t>
      </w:r>
    </w:p>
    <w:p w:rsidR="005A5D78" w:rsidRDefault="005A5D78" w:rsidP="00DD349B">
      <w:pPr>
        <w:jc w:val="both"/>
      </w:pPr>
      <w:r>
        <w:t xml:space="preserve">Les victimes des agressions travaillent dans 18 </w:t>
      </w:r>
      <w:r>
        <w:t>média</w:t>
      </w:r>
      <w:r w:rsidR="00DD349B">
        <w:t>s</w:t>
      </w:r>
      <w:r>
        <w:t>, répartis en 8 chaînes de radio, 4 chaînes de télévision, 3 agences de presse, 2 sites Internet et un journal écrit.</w:t>
      </w:r>
    </w:p>
    <w:p w:rsidR="005A5D78" w:rsidRDefault="005A5D78" w:rsidP="00DD349B">
      <w:pPr>
        <w:jc w:val="both"/>
      </w:pPr>
      <w:r>
        <w:t xml:space="preserve">Les établissements sont répartis en 9 établissements publics, 7 établissements privés, un établissement </w:t>
      </w:r>
      <w:r w:rsidR="00DD349B" w:rsidRPr="00DD349B">
        <w:rPr>
          <w:highlight w:val="yellow"/>
        </w:rPr>
        <w:t>sous tutelle de l’état</w:t>
      </w:r>
      <w:r>
        <w:t xml:space="preserve"> et un établissement associatif.</w:t>
      </w:r>
    </w:p>
    <w:p w:rsidR="0076665A" w:rsidRPr="0076665A" w:rsidRDefault="0076665A" w:rsidP="0076665A">
      <w:pPr>
        <w:jc w:val="both"/>
        <w:rPr>
          <w:b/>
          <w:bCs/>
        </w:rPr>
      </w:pPr>
      <w:r w:rsidRPr="0076665A">
        <w:rPr>
          <w:b/>
          <w:bCs/>
        </w:rPr>
        <w:t>Les journalistes</w:t>
      </w:r>
      <w:r w:rsidRPr="0076665A">
        <w:rPr>
          <w:b/>
          <w:bCs/>
        </w:rPr>
        <w:t xml:space="preserve"> hommes et femmes, victimes, </w:t>
      </w:r>
      <w:r w:rsidRPr="0076665A">
        <w:rPr>
          <w:b/>
          <w:bCs/>
        </w:rPr>
        <w:t>ont travaillé sur des sujets :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Politique</w:t>
      </w:r>
      <w:r>
        <w:t>s</w:t>
      </w:r>
      <w:r>
        <w:t xml:space="preserve"> à 6 reprises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Parlementaire</w:t>
      </w:r>
      <w:r>
        <w:t>s</w:t>
      </w:r>
      <w:r>
        <w:t xml:space="preserve"> à 3 reprises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Économique</w:t>
      </w:r>
      <w:r>
        <w:t>s</w:t>
      </w:r>
      <w:r>
        <w:t xml:space="preserve"> à 2 reprises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Professionnel</w:t>
      </w:r>
      <w:r>
        <w:t>s</w:t>
      </w:r>
      <w:r>
        <w:t xml:space="preserve"> à 2 reprises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J</w:t>
      </w:r>
      <w:r>
        <w:t>udiciaire</w:t>
      </w:r>
      <w:r>
        <w:t>s</w:t>
      </w:r>
      <w:r>
        <w:t xml:space="preserve"> à 2 reprises</w:t>
      </w:r>
    </w:p>
    <w:p w:rsidR="0076665A" w:rsidRDefault="0076665A" w:rsidP="0076665A">
      <w:pPr>
        <w:pStyle w:val="Paragraphedeliste"/>
        <w:numPr>
          <w:ilvl w:val="0"/>
          <w:numId w:val="1"/>
        </w:numPr>
        <w:jc w:val="both"/>
      </w:pPr>
      <w:r>
        <w:t>D</w:t>
      </w:r>
      <w:r>
        <w:t>'éducation en une seule occasion</w:t>
      </w:r>
    </w:p>
    <w:p w:rsidR="00DD349B" w:rsidRDefault="0076665A" w:rsidP="0041591D">
      <w:pPr>
        <w:jc w:val="both"/>
        <w:rPr>
          <w:b/>
          <w:bCs/>
        </w:rPr>
      </w:pPr>
      <w:r w:rsidRPr="0041591D">
        <w:rPr>
          <w:b/>
          <w:bCs/>
        </w:rPr>
        <w:t xml:space="preserve">Les </w:t>
      </w:r>
      <w:r w:rsidR="0041591D" w:rsidRPr="0041591D">
        <w:rPr>
          <w:b/>
          <w:bCs/>
        </w:rPr>
        <w:t xml:space="preserve">journalistes et photojournalistes, hommes et femmes ont été victimes de : 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6 cas d'interdiction de travail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3 cas de harcèlement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2 cas d'incitation</w:t>
      </w:r>
      <w:r>
        <w:t xml:space="preserve"> à la haine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 xml:space="preserve">1 </w:t>
      </w:r>
      <w:r>
        <w:t>censure préalable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1 cas de menace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1 cas de rétention d'informations</w:t>
      </w:r>
    </w:p>
    <w:p w:rsidR="0041591D" w:rsidRP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1 dossier d'enquête pénale</w:t>
      </w:r>
    </w:p>
    <w:p w:rsidR="0041591D" w:rsidRDefault="0041591D" w:rsidP="0041591D">
      <w:pPr>
        <w:pStyle w:val="Paragraphedeliste"/>
        <w:numPr>
          <w:ilvl w:val="0"/>
          <w:numId w:val="2"/>
        </w:numPr>
        <w:jc w:val="both"/>
      </w:pPr>
      <w:r w:rsidRPr="0041591D">
        <w:t>1 cas d'agression verbale</w:t>
      </w:r>
    </w:p>
    <w:p w:rsidR="0041591D" w:rsidRDefault="0041591D" w:rsidP="0041591D">
      <w:pPr>
        <w:pStyle w:val="Paragraphedeliste"/>
        <w:jc w:val="both"/>
      </w:pPr>
    </w:p>
    <w:p w:rsidR="0041591D" w:rsidRDefault="0041591D" w:rsidP="0041591D">
      <w:pPr>
        <w:pStyle w:val="Paragraphedeliste"/>
        <w:jc w:val="both"/>
      </w:pPr>
    </w:p>
    <w:p w:rsidR="0041591D" w:rsidRPr="00C270B1" w:rsidRDefault="0041591D" w:rsidP="00C270B1">
      <w:pPr>
        <w:jc w:val="both"/>
        <w:rPr>
          <w:b/>
          <w:bCs/>
        </w:rPr>
      </w:pPr>
      <w:r w:rsidRPr="00C270B1">
        <w:rPr>
          <w:b/>
          <w:bCs/>
        </w:rPr>
        <w:lastRenderedPageBreak/>
        <w:t xml:space="preserve">Les </w:t>
      </w:r>
      <w:r w:rsidR="00C270B1" w:rsidRPr="00C270B1">
        <w:rPr>
          <w:b/>
          <w:bCs/>
        </w:rPr>
        <w:t xml:space="preserve">espaces </w:t>
      </w:r>
      <w:r w:rsidRPr="00C270B1">
        <w:rPr>
          <w:b/>
          <w:bCs/>
        </w:rPr>
        <w:t>d'a</w:t>
      </w:r>
      <w:r w:rsidR="00C270B1" w:rsidRPr="00C270B1">
        <w:rPr>
          <w:b/>
          <w:bCs/>
        </w:rPr>
        <w:t>gression</w:t>
      </w:r>
      <w:r w:rsidRPr="00C270B1">
        <w:rPr>
          <w:b/>
          <w:bCs/>
        </w:rPr>
        <w:t xml:space="preserve"> ont été divisées </w:t>
      </w:r>
      <w:r w:rsidR="003769F0" w:rsidRPr="00C270B1">
        <w:rPr>
          <w:b/>
          <w:bCs/>
        </w:rPr>
        <w:t>en :</w:t>
      </w:r>
    </w:p>
    <w:p w:rsidR="0041591D" w:rsidRDefault="0041591D" w:rsidP="00C270B1">
      <w:pPr>
        <w:pStyle w:val="Paragraphedeliste"/>
        <w:numPr>
          <w:ilvl w:val="0"/>
          <w:numId w:val="3"/>
        </w:numPr>
        <w:jc w:val="both"/>
      </w:pPr>
      <w:r>
        <w:t xml:space="preserve">2 </w:t>
      </w:r>
      <w:r w:rsidR="00C270B1">
        <w:t>cas</w:t>
      </w:r>
      <w:r>
        <w:t xml:space="preserve"> dans l'espace virtuel.</w:t>
      </w:r>
    </w:p>
    <w:p w:rsidR="0041591D" w:rsidRDefault="0041591D" w:rsidP="00C270B1">
      <w:pPr>
        <w:pStyle w:val="Paragraphedeliste"/>
        <w:numPr>
          <w:ilvl w:val="0"/>
          <w:numId w:val="3"/>
        </w:numPr>
        <w:jc w:val="both"/>
      </w:pPr>
      <w:r>
        <w:t>14 cas dans l'espace réel.</w:t>
      </w:r>
    </w:p>
    <w:p w:rsidR="0041591D" w:rsidRDefault="0041591D" w:rsidP="003769F0">
      <w:pPr>
        <w:jc w:val="both"/>
      </w:pPr>
      <w:r>
        <w:t>Les fonctionnaires sont revenus en tête de liste des agresseurs de journalistes et de photo</w:t>
      </w:r>
      <w:r w:rsidR="00C270B1">
        <w:t>journalistes</w:t>
      </w:r>
      <w:r w:rsidR="003769F0">
        <w:t xml:space="preserve">, hommes et femmes, </w:t>
      </w:r>
      <w:r>
        <w:t>avec 4 agressions,</w:t>
      </w:r>
      <w:r w:rsidR="003769F0">
        <w:t xml:space="preserve"> pour la plupart des employés du parlement</w:t>
      </w:r>
      <w:r>
        <w:t>. Les agresseurs de se répartissaient comme suit :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>Fonctionnaires à 4 reprises.</w:t>
      </w:r>
    </w:p>
    <w:p w:rsidR="0041591D" w:rsidRDefault="00CE6D87" w:rsidP="00CE6D87">
      <w:pPr>
        <w:pStyle w:val="Paragraphedeliste"/>
        <w:numPr>
          <w:ilvl w:val="0"/>
          <w:numId w:val="4"/>
        </w:numPr>
        <w:jc w:val="both"/>
      </w:pPr>
      <w:r>
        <w:t xml:space="preserve">Forces de l’ordre </w:t>
      </w:r>
      <w:r w:rsidR="0041591D">
        <w:t>à 2 reprises.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>Représentants du Peuple à 2 reprises.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>Dirigeants d'un média à 2 reprises.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>Autorités judiciaires à 2 reprises.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>Politiciens à 2 reprises.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 xml:space="preserve">Des représentants du gouvernement </w:t>
      </w:r>
      <w:r w:rsidR="00CE6D87">
        <w:t>à une seule reprise</w:t>
      </w:r>
    </w:p>
    <w:p w:rsidR="0041591D" w:rsidRDefault="0041591D" w:rsidP="00CE6D87">
      <w:pPr>
        <w:pStyle w:val="Paragraphedeliste"/>
        <w:numPr>
          <w:ilvl w:val="0"/>
          <w:numId w:val="4"/>
        </w:numPr>
        <w:jc w:val="both"/>
      </w:pPr>
      <w:r>
        <w:t xml:space="preserve">Activistes des médias sociaux à une seule </w:t>
      </w:r>
      <w:r w:rsidR="00CE6D87">
        <w:t>reprise</w:t>
      </w:r>
    </w:p>
    <w:p w:rsidR="00CF5963" w:rsidRDefault="00CF5963" w:rsidP="00CF5963">
      <w:pPr>
        <w:jc w:val="both"/>
      </w:pPr>
      <w:r>
        <w:t xml:space="preserve">Les attaques </w:t>
      </w:r>
      <w:r>
        <w:t xml:space="preserve">contre les </w:t>
      </w:r>
      <w:r>
        <w:t>journalistes et des photo</w:t>
      </w:r>
      <w:r>
        <w:t>journalistes, hommes et femmes,</w:t>
      </w:r>
      <w:r>
        <w:t xml:space="preserve"> se sont</w:t>
      </w:r>
      <w:r>
        <w:t xml:space="preserve"> passées à : 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>Tunis</w:t>
      </w:r>
      <w:r>
        <w:t xml:space="preserve"> dans 10 cas.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>Gafsa dans 2 cas.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 xml:space="preserve">Sidi Bouzid dans </w:t>
      </w:r>
      <w:r>
        <w:t>un seul cas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 xml:space="preserve">Monastir </w:t>
      </w:r>
      <w:r>
        <w:t xml:space="preserve">dans </w:t>
      </w:r>
      <w:r>
        <w:t>un seul cas.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>Kairouan dans un seul</w:t>
      </w:r>
      <w:r>
        <w:t xml:space="preserve"> </w:t>
      </w:r>
      <w:r>
        <w:t>cas</w:t>
      </w:r>
      <w:r>
        <w:t>.</w:t>
      </w:r>
    </w:p>
    <w:p w:rsidR="00CF5963" w:rsidRDefault="00CF5963" w:rsidP="00CF5963">
      <w:pPr>
        <w:pStyle w:val="Paragraphedeliste"/>
        <w:numPr>
          <w:ilvl w:val="0"/>
          <w:numId w:val="5"/>
        </w:numPr>
        <w:jc w:val="both"/>
      </w:pPr>
      <w:r>
        <w:t xml:space="preserve">Sfax </w:t>
      </w:r>
      <w:r>
        <w:t>dans un seul cas.</w:t>
      </w:r>
    </w:p>
    <w:p w:rsidR="00CF5963" w:rsidRDefault="00CF5963" w:rsidP="00CF5963">
      <w:pPr>
        <w:jc w:val="both"/>
      </w:pPr>
    </w:p>
    <w:p w:rsidR="001C14BB" w:rsidRPr="001C14BB" w:rsidRDefault="001C14BB" w:rsidP="001C14BB">
      <w:pPr>
        <w:jc w:val="center"/>
        <w:rPr>
          <w:b/>
          <w:bCs/>
          <w:sz w:val="28"/>
          <w:szCs w:val="28"/>
        </w:rPr>
      </w:pPr>
      <w:r w:rsidRPr="001C14BB">
        <w:rPr>
          <w:b/>
          <w:bCs/>
          <w:sz w:val="28"/>
          <w:szCs w:val="28"/>
        </w:rPr>
        <w:t>Recommandations</w:t>
      </w:r>
    </w:p>
    <w:p w:rsidR="001C14BB" w:rsidRDefault="001C14BB" w:rsidP="001C14BB">
      <w:pPr>
        <w:jc w:val="both"/>
      </w:pPr>
    </w:p>
    <w:p w:rsidR="001C14BB" w:rsidRDefault="001C14BB" w:rsidP="001C14BB">
      <w:pPr>
        <w:jc w:val="both"/>
      </w:pPr>
      <w:r>
        <w:t>Le Syndicat National des Journalistes Tunisiens, après les agressions qu'il a enregistrées contre des journalistes et photo</w:t>
      </w:r>
      <w:r>
        <w:t>journalistes, hommes et femmes,</w:t>
      </w:r>
      <w:r>
        <w:t xml:space="preserve"> au cours</w:t>
      </w:r>
      <w:r>
        <w:t xml:space="preserve"> du mois de juin 2023, appelle</w:t>
      </w:r>
      <w:r>
        <w:t xml:space="preserve"> :</w:t>
      </w:r>
    </w:p>
    <w:p w:rsidR="001C14BB" w:rsidRPr="00520B0C" w:rsidRDefault="001C14BB" w:rsidP="001C14BB">
      <w:pPr>
        <w:jc w:val="both"/>
        <w:rPr>
          <w:b/>
          <w:bCs/>
        </w:rPr>
      </w:pPr>
      <w:r w:rsidRPr="00520B0C">
        <w:rPr>
          <w:b/>
          <w:bCs/>
        </w:rPr>
        <w:t>1. L'Assemblée des Représentants du Peuple</w:t>
      </w:r>
      <w:r w:rsidR="00520B0C" w:rsidRPr="00520B0C">
        <w:rPr>
          <w:b/>
          <w:bCs/>
        </w:rPr>
        <w:t xml:space="preserve"> à</w:t>
      </w:r>
      <w:r w:rsidRPr="00520B0C">
        <w:rPr>
          <w:b/>
          <w:bCs/>
        </w:rPr>
        <w:t xml:space="preserve"> :</w:t>
      </w:r>
    </w:p>
    <w:p w:rsidR="001C14BB" w:rsidRDefault="00520B0C" w:rsidP="00520B0C">
      <w:pPr>
        <w:pStyle w:val="Paragraphedeliste"/>
        <w:numPr>
          <w:ilvl w:val="0"/>
          <w:numId w:val="7"/>
        </w:numPr>
        <w:jc w:val="both"/>
      </w:pPr>
      <w:r>
        <w:t>L’</w:t>
      </w:r>
      <w:r w:rsidR="001C14BB">
        <w:t xml:space="preserve">Annulation immédiate de la décision d'empêcher la médiatisation des travaux des commissions et de se conformer aux exigences du </w:t>
      </w:r>
      <w:r>
        <w:t>règlement</w:t>
      </w:r>
      <w:r w:rsidR="001C14BB">
        <w:t xml:space="preserve"> interne, qui reconnaît la publicité des séances des commissions, dans le respect du droit du citoyen à </w:t>
      </w:r>
      <w:r>
        <w:t>l’accès à</w:t>
      </w:r>
      <w:r w:rsidR="001C14BB">
        <w:t xml:space="preserve"> </w:t>
      </w:r>
      <w:r>
        <w:t>l’information.</w:t>
      </w:r>
    </w:p>
    <w:p w:rsidR="001C14BB" w:rsidRDefault="001C14BB" w:rsidP="00520B0C">
      <w:pPr>
        <w:pStyle w:val="Paragraphedeliste"/>
        <w:numPr>
          <w:ilvl w:val="0"/>
          <w:numId w:val="7"/>
        </w:numPr>
        <w:jc w:val="both"/>
      </w:pPr>
      <w:r>
        <w:t>Accorder une haute priorité aux projets liés à la réglementation de la liberté d'expression, de presse et de publication.</w:t>
      </w:r>
    </w:p>
    <w:p w:rsidR="001C14BB" w:rsidRDefault="001C14BB" w:rsidP="001C14BB">
      <w:pPr>
        <w:jc w:val="both"/>
      </w:pPr>
    </w:p>
    <w:p w:rsidR="001C14BB" w:rsidRPr="00520B0C" w:rsidRDefault="001C14BB" w:rsidP="00520B0C">
      <w:pPr>
        <w:jc w:val="both"/>
        <w:rPr>
          <w:b/>
          <w:bCs/>
        </w:rPr>
      </w:pPr>
      <w:r w:rsidRPr="00520B0C">
        <w:rPr>
          <w:b/>
          <w:bCs/>
        </w:rPr>
        <w:t xml:space="preserve">2. </w:t>
      </w:r>
      <w:r w:rsidR="00520B0C" w:rsidRPr="00520B0C">
        <w:rPr>
          <w:b/>
          <w:bCs/>
        </w:rPr>
        <w:t>La Présidence du Gouvernement à</w:t>
      </w:r>
      <w:r w:rsidRPr="00520B0C">
        <w:rPr>
          <w:b/>
          <w:bCs/>
        </w:rPr>
        <w:t> :</w:t>
      </w:r>
    </w:p>
    <w:p w:rsidR="001C14BB" w:rsidRDefault="001C14BB" w:rsidP="00520B0C">
      <w:pPr>
        <w:pStyle w:val="Paragraphedeliste"/>
        <w:numPr>
          <w:ilvl w:val="0"/>
          <w:numId w:val="8"/>
        </w:numPr>
        <w:jc w:val="both"/>
      </w:pPr>
      <w:r>
        <w:t xml:space="preserve">Respecter le droit du citoyen à </w:t>
      </w:r>
      <w:r w:rsidR="00520B0C">
        <w:t xml:space="preserve">l’accès à </w:t>
      </w:r>
      <w:r>
        <w:t xml:space="preserve">l'information, respecter la liberté du travail journalistique, revoir sa politique de communication et accorder plus de liberté aux chargés de communication afin de briser la restriction </w:t>
      </w:r>
      <w:r w:rsidR="00520B0C">
        <w:t xml:space="preserve">de l’accès </w:t>
      </w:r>
      <w:r>
        <w:t>à l'information.</w:t>
      </w:r>
    </w:p>
    <w:p w:rsidR="001C14BB" w:rsidRDefault="001C14BB" w:rsidP="00520B0C">
      <w:pPr>
        <w:pStyle w:val="Paragraphedeliste"/>
        <w:numPr>
          <w:ilvl w:val="0"/>
          <w:numId w:val="8"/>
        </w:numPr>
        <w:jc w:val="both"/>
      </w:pPr>
      <w:r>
        <w:t xml:space="preserve">Arrêter les </w:t>
      </w:r>
      <w:r w:rsidR="00520B0C">
        <w:t>circulaires</w:t>
      </w:r>
      <w:r>
        <w:t xml:space="preserve"> qui entravent illégalement le droit des journalistes d'obtenir des informations de sources officielles afin de garantir le droit des journalistes et des citoyens à les obtenir.</w:t>
      </w:r>
    </w:p>
    <w:p w:rsidR="001C14BB" w:rsidRDefault="001C14BB" w:rsidP="001C14BB">
      <w:pPr>
        <w:jc w:val="both"/>
      </w:pPr>
    </w:p>
    <w:p w:rsidR="001C14BB" w:rsidRPr="00520B0C" w:rsidRDefault="001C14BB" w:rsidP="00520B0C">
      <w:pPr>
        <w:jc w:val="both"/>
        <w:rPr>
          <w:b/>
          <w:bCs/>
        </w:rPr>
      </w:pPr>
      <w:r w:rsidRPr="00520B0C">
        <w:rPr>
          <w:b/>
          <w:bCs/>
        </w:rPr>
        <w:t xml:space="preserve">3. Les autorités judiciaires </w:t>
      </w:r>
      <w:r w:rsidR="00520B0C" w:rsidRPr="00520B0C">
        <w:rPr>
          <w:b/>
          <w:bCs/>
        </w:rPr>
        <w:t>à</w:t>
      </w:r>
      <w:r w:rsidRPr="00520B0C">
        <w:rPr>
          <w:b/>
          <w:bCs/>
        </w:rPr>
        <w:t xml:space="preserve"> :</w:t>
      </w:r>
    </w:p>
    <w:p w:rsidR="001C14BB" w:rsidRDefault="001C14BB" w:rsidP="00520B0C">
      <w:pPr>
        <w:pStyle w:val="Paragraphedeliste"/>
        <w:numPr>
          <w:ilvl w:val="0"/>
          <w:numId w:val="9"/>
        </w:numPr>
        <w:jc w:val="both"/>
      </w:pPr>
      <w:r>
        <w:t xml:space="preserve">Revoir la décision interdisant </w:t>
      </w:r>
      <w:r w:rsidR="00520B0C">
        <w:t>la médiatisation</w:t>
      </w:r>
      <w:r>
        <w:t xml:space="preserve"> de</w:t>
      </w:r>
      <w:r w:rsidR="00520B0C">
        <w:t>s</w:t>
      </w:r>
      <w:r>
        <w:t xml:space="preserve"> complot</w:t>
      </w:r>
      <w:r w:rsidR="00520B0C">
        <w:t>s</w:t>
      </w:r>
      <w:r>
        <w:t xml:space="preserve"> contre la sûreté de l'État </w:t>
      </w:r>
      <w:r w:rsidR="00520B0C">
        <w:t>ou</w:t>
      </w:r>
      <w:r>
        <w:t xml:space="preserve"> des questions majeures et respecter la co</w:t>
      </w:r>
      <w:r w:rsidR="00520B0C">
        <w:t>nstitution tunisienne, qui interd</w:t>
      </w:r>
      <w:r>
        <w:t>it la censure préalable du travail journalistique.</w:t>
      </w:r>
    </w:p>
    <w:p w:rsidR="001C14BB" w:rsidRDefault="001C14BB" w:rsidP="00520B0C">
      <w:pPr>
        <w:pStyle w:val="Paragraphedeliste"/>
        <w:numPr>
          <w:ilvl w:val="0"/>
          <w:numId w:val="9"/>
        </w:numPr>
        <w:jc w:val="both"/>
      </w:pPr>
      <w:r>
        <w:t xml:space="preserve">Arrêter les saisines hors du cadre de la loi réglementant le secteur de la presse et </w:t>
      </w:r>
      <w:r w:rsidR="00520B0C">
        <w:t xml:space="preserve">classer </w:t>
      </w:r>
      <w:r>
        <w:t>toutes les plaintes qui s'appuient sur d'autres textes.</w:t>
      </w:r>
    </w:p>
    <w:p w:rsidR="00520B0C" w:rsidRDefault="00520B0C" w:rsidP="00520B0C">
      <w:pPr>
        <w:pStyle w:val="Paragraphedeliste"/>
        <w:jc w:val="both"/>
      </w:pPr>
    </w:p>
    <w:p w:rsidR="001C14BB" w:rsidRPr="00520B0C" w:rsidRDefault="001C14BB" w:rsidP="001C14BB">
      <w:pPr>
        <w:jc w:val="both"/>
        <w:rPr>
          <w:b/>
          <w:bCs/>
        </w:rPr>
      </w:pPr>
      <w:r w:rsidRPr="00520B0C">
        <w:rPr>
          <w:b/>
          <w:bCs/>
        </w:rPr>
        <w:t>4. Les autorités politiques et civiles à :</w:t>
      </w:r>
    </w:p>
    <w:p w:rsidR="001C14BB" w:rsidRDefault="001C14BB" w:rsidP="00892085">
      <w:pPr>
        <w:jc w:val="both"/>
      </w:pPr>
      <w:r>
        <w:t xml:space="preserve">Rompre avec les discours d'incitation </w:t>
      </w:r>
      <w:r w:rsidR="00444FC1">
        <w:t xml:space="preserve">à la haine </w:t>
      </w:r>
      <w:r>
        <w:t>et de menace contre les journalistes hommes et femmes et ne pas les impliquer dans des conflits qui n'ont rien à voir avec eux.</w:t>
      </w:r>
    </w:p>
    <w:p w:rsidR="001C14BB" w:rsidRDefault="001C14BB" w:rsidP="001C14BB">
      <w:pPr>
        <w:jc w:val="both"/>
      </w:pPr>
    </w:p>
    <w:p w:rsidR="00892085" w:rsidRDefault="00892085" w:rsidP="001C14BB">
      <w:pPr>
        <w:jc w:val="both"/>
      </w:pPr>
    </w:p>
    <w:p w:rsidR="00892085" w:rsidRDefault="00892085" w:rsidP="001C14BB">
      <w:pPr>
        <w:jc w:val="both"/>
      </w:pPr>
      <w:bookmarkStart w:id="0" w:name="_GoBack"/>
      <w:bookmarkEnd w:id="0"/>
    </w:p>
    <w:p w:rsidR="001C14BB" w:rsidRPr="00892085" w:rsidRDefault="001C14BB" w:rsidP="00892085">
      <w:pPr>
        <w:jc w:val="center"/>
        <w:rPr>
          <w:b/>
          <w:bCs/>
        </w:rPr>
      </w:pPr>
      <w:r w:rsidRPr="00892085">
        <w:rPr>
          <w:b/>
          <w:bCs/>
        </w:rPr>
        <w:t>Ce rapport a été réalisé dans le cadre d'un programme mis en œuvre en partenariat avec :</w:t>
      </w:r>
    </w:p>
    <w:p w:rsidR="001C14BB" w:rsidRPr="00892085" w:rsidRDefault="001C14BB" w:rsidP="00892085">
      <w:pPr>
        <w:jc w:val="center"/>
        <w:rPr>
          <w:b/>
          <w:bCs/>
        </w:rPr>
      </w:pPr>
      <w:r w:rsidRPr="00892085">
        <w:rPr>
          <w:b/>
          <w:bCs/>
        </w:rPr>
        <w:t>Reporters sans frontières</w:t>
      </w:r>
    </w:p>
    <w:p w:rsidR="001C14BB" w:rsidRDefault="001C14BB" w:rsidP="001C14BB">
      <w:pPr>
        <w:jc w:val="both"/>
      </w:pPr>
    </w:p>
    <w:p w:rsidR="001C14BB" w:rsidRPr="0041591D" w:rsidRDefault="001C14BB" w:rsidP="001C14BB">
      <w:pPr>
        <w:jc w:val="both"/>
      </w:pPr>
    </w:p>
    <w:sectPr w:rsidR="001C14BB" w:rsidRPr="0041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49A5"/>
    <w:multiLevelType w:val="hybridMultilevel"/>
    <w:tmpl w:val="177E8202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62C26"/>
    <w:multiLevelType w:val="hybridMultilevel"/>
    <w:tmpl w:val="C3C6F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73D6"/>
    <w:multiLevelType w:val="hybridMultilevel"/>
    <w:tmpl w:val="EE1E9154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D2A8D"/>
    <w:multiLevelType w:val="hybridMultilevel"/>
    <w:tmpl w:val="4340781A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C4FAB"/>
    <w:multiLevelType w:val="hybridMultilevel"/>
    <w:tmpl w:val="2ABA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06581"/>
    <w:multiLevelType w:val="hybridMultilevel"/>
    <w:tmpl w:val="C7605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F0BD4"/>
    <w:multiLevelType w:val="hybridMultilevel"/>
    <w:tmpl w:val="F65A6ADA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F4F18"/>
    <w:multiLevelType w:val="hybridMultilevel"/>
    <w:tmpl w:val="20CA3FC2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2354B"/>
    <w:multiLevelType w:val="hybridMultilevel"/>
    <w:tmpl w:val="93E67202"/>
    <w:lvl w:ilvl="0" w:tplc="B2E0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5A"/>
    <w:rsid w:val="000D7A5A"/>
    <w:rsid w:val="001C14BB"/>
    <w:rsid w:val="00336724"/>
    <w:rsid w:val="003769F0"/>
    <w:rsid w:val="00404349"/>
    <w:rsid w:val="0041591D"/>
    <w:rsid w:val="00444FC1"/>
    <w:rsid w:val="004A7174"/>
    <w:rsid w:val="004C0175"/>
    <w:rsid w:val="00520B0C"/>
    <w:rsid w:val="005A5D78"/>
    <w:rsid w:val="0076665A"/>
    <w:rsid w:val="00892085"/>
    <w:rsid w:val="008E6B66"/>
    <w:rsid w:val="00A77C7F"/>
    <w:rsid w:val="00C270B1"/>
    <w:rsid w:val="00CE6D87"/>
    <w:rsid w:val="00CF5963"/>
    <w:rsid w:val="00DD349B"/>
    <w:rsid w:val="00E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B6E3F-A666-4BBA-9016-23CC08D8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6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7374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2023-07-20T09:17:00Z</dcterms:created>
  <dcterms:modified xsi:type="dcterms:W3CDTF">2023-07-25T12:47:00Z</dcterms:modified>
</cp:coreProperties>
</file>