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CAD" w:rsidRDefault="003C6CAD" w:rsidP="003C6CAD">
      <w:pPr>
        <w:jc w:val="center"/>
        <w:rPr>
          <w:b/>
          <w:bCs/>
          <w:sz w:val="28"/>
          <w:szCs w:val="28"/>
        </w:rPr>
      </w:pPr>
    </w:p>
    <w:p w:rsidR="003C6CAD" w:rsidRDefault="003C6CAD" w:rsidP="003C6CAD">
      <w:pPr>
        <w:jc w:val="center"/>
        <w:rPr>
          <w:b/>
          <w:bCs/>
          <w:sz w:val="28"/>
          <w:szCs w:val="28"/>
        </w:rPr>
      </w:pPr>
    </w:p>
    <w:p w:rsidR="003C6CAD" w:rsidRPr="003C6CAD" w:rsidRDefault="003C6CAD" w:rsidP="003C6CAD">
      <w:pPr>
        <w:jc w:val="center"/>
        <w:rPr>
          <w:b/>
          <w:bCs/>
          <w:sz w:val="28"/>
          <w:szCs w:val="28"/>
        </w:rPr>
      </w:pPr>
      <w:r w:rsidRPr="003C6CAD">
        <w:rPr>
          <w:b/>
          <w:bCs/>
          <w:sz w:val="28"/>
          <w:szCs w:val="28"/>
        </w:rPr>
        <w:t xml:space="preserve">Rapport </w:t>
      </w:r>
      <w:r w:rsidRPr="003C6CAD">
        <w:rPr>
          <w:b/>
          <w:bCs/>
          <w:sz w:val="28"/>
          <w:szCs w:val="28"/>
        </w:rPr>
        <w:t>Mensuel du mois de</w:t>
      </w:r>
      <w:r>
        <w:rPr>
          <w:b/>
          <w:bCs/>
          <w:sz w:val="28"/>
          <w:szCs w:val="28"/>
        </w:rPr>
        <w:t xml:space="preserve"> S</w:t>
      </w:r>
      <w:r w:rsidRPr="003C6CAD">
        <w:rPr>
          <w:b/>
          <w:bCs/>
          <w:sz w:val="28"/>
          <w:szCs w:val="28"/>
        </w:rPr>
        <w:t>eptembre 2022 - Sommaire exécutif</w:t>
      </w:r>
    </w:p>
    <w:p w:rsidR="003C6CAD" w:rsidRDefault="003C6CAD" w:rsidP="003C6CAD">
      <w:pPr>
        <w:jc w:val="center"/>
        <w:rPr>
          <w:b/>
          <w:bCs/>
          <w:sz w:val="28"/>
          <w:szCs w:val="28"/>
        </w:rPr>
      </w:pPr>
    </w:p>
    <w:p w:rsidR="003C6CAD" w:rsidRDefault="003C6CAD" w:rsidP="003C6CAD">
      <w:pPr>
        <w:jc w:val="center"/>
        <w:rPr>
          <w:b/>
          <w:bCs/>
          <w:sz w:val="28"/>
          <w:szCs w:val="28"/>
        </w:rPr>
      </w:pPr>
    </w:p>
    <w:p w:rsidR="003C6CAD" w:rsidRPr="003C6CAD" w:rsidRDefault="003C6CAD" w:rsidP="003C6CAD">
      <w:pPr>
        <w:jc w:val="center"/>
        <w:rPr>
          <w:b/>
          <w:bCs/>
          <w:sz w:val="28"/>
          <w:szCs w:val="28"/>
        </w:rPr>
      </w:pPr>
    </w:p>
    <w:p w:rsidR="003C6CAD" w:rsidRPr="003C6CAD" w:rsidRDefault="003C6CAD" w:rsidP="003C6CAD">
      <w:pPr>
        <w:jc w:val="center"/>
        <w:rPr>
          <w:b/>
          <w:bCs/>
          <w:sz w:val="28"/>
          <w:szCs w:val="28"/>
        </w:rPr>
      </w:pPr>
      <w:r w:rsidRPr="003C6CAD">
        <w:rPr>
          <w:b/>
          <w:bCs/>
          <w:sz w:val="28"/>
          <w:szCs w:val="28"/>
        </w:rPr>
        <w:t>Syndicat National des Journalistes T</w:t>
      </w:r>
      <w:r w:rsidRPr="003C6CAD">
        <w:rPr>
          <w:b/>
          <w:bCs/>
          <w:sz w:val="28"/>
          <w:szCs w:val="28"/>
        </w:rPr>
        <w:t>unisiens</w:t>
      </w:r>
    </w:p>
    <w:p w:rsidR="00E44D73" w:rsidRDefault="003C6CAD" w:rsidP="003C6CAD">
      <w:pPr>
        <w:jc w:val="center"/>
        <w:rPr>
          <w:b/>
          <w:bCs/>
          <w:sz w:val="28"/>
          <w:szCs w:val="28"/>
        </w:rPr>
      </w:pPr>
      <w:r w:rsidRPr="003C6CAD">
        <w:rPr>
          <w:b/>
          <w:bCs/>
          <w:sz w:val="28"/>
          <w:szCs w:val="28"/>
        </w:rPr>
        <w:t>Unité de Monitoring au sein du</w:t>
      </w:r>
      <w:r w:rsidRPr="003C6CAD">
        <w:rPr>
          <w:b/>
          <w:bCs/>
          <w:sz w:val="28"/>
          <w:szCs w:val="28"/>
        </w:rPr>
        <w:t xml:space="preserve"> Centre de sécurité au travail</w:t>
      </w: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5E11D9" w:rsidRDefault="005E11D9" w:rsidP="003C6CAD">
      <w:pPr>
        <w:jc w:val="center"/>
        <w:rPr>
          <w:b/>
          <w:bCs/>
          <w:sz w:val="28"/>
          <w:szCs w:val="28"/>
        </w:rPr>
      </w:pPr>
    </w:p>
    <w:p w:rsidR="00D7105C" w:rsidRDefault="005E11D9" w:rsidP="00D7105C">
      <w:pPr>
        <w:jc w:val="both"/>
        <w:rPr>
          <w:sz w:val="24"/>
          <w:szCs w:val="24"/>
        </w:rPr>
      </w:pPr>
      <w:r>
        <w:rPr>
          <w:sz w:val="24"/>
          <w:szCs w:val="24"/>
        </w:rPr>
        <w:lastRenderedPageBreak/>
        <w:t xml:space="preserve">La fréquence </w:t>
      </w:r>
      <w:r w:rsidRPr="005E11D9">
        <w:rPr>
          <w:sz w:val="24"/>
          <w:szCs w:val="24"/>
        </w:rPr>
        <w:t xml:space="preserve">des attaques </w:t>
      </w:r>
      <w:r>
        <w:rPr>
          <w:sz w:val="24"/>
          <w:szCs w:val="24"/>
        </w:rPr>
        <w:t xml:space="preserve">envers les journalistes et </w:t>
      </w:r>
      <w:r w:rsidRPr="005E11D9">
        <w:rPr>
          <w:sz w:val="24"/>
          <w:szCs w:val="24"/>
        </w:rPr>
        <w:t>photo</w:t>
      </w:r>
      <w:r>
        <w:rPr>
          <w:sz w:val="24"/>
          <w:szCs w:val="24"/>
        </w:rPr>
        <w:t>journalistes</w:t>
      </w:r>
      <w:r w:rsidRPr="005E11D9">
        <w:rPr>
          <w:sz w:val="24"/>
          <w:szCs w:val="24"/>
        </w:rPr>
        <w:t xml:space="preserve"> a </w:t>
      </w:r>
      <w:r>
        <w:rPr>
          <w:sz w:val="24"/>
          <w:szCs w:val="24"/>
        </w:rPr>
        <w:t>chuté</w:t>
      </w:r>
      <w:r w:rsidRPr="005E11D9">
        <w:rPr>
          <w:sz w:val="24"/>
          <w:szCs w:val="24"/>
        </w:rPr>
        <w:t xml:space="preserve"> </w:t>
      </w:r>
      <w:r>
        <w:rPr>
          <w:sz w:val="24"/>
          <w:szCs w:val="24"/>
        </w:rPr>
        <w:t>durant le mois de S</w:t>
      </w:r>
      <w:r w:rsidRPr="005E11D9">
        <w:rPr>
          <w:sz w:val="24"/>
          <w:szCs w:val="24"/>
        </w:rPr>
        <w:t>eptembre 2022</w:t>
      </w:r>
      <w:r>
        <w:rPr>
          <w:sz w:val="24"/>
          <w:szCs w:val="24"/>
        </w:rPr>
        <w:t>, par rapport aux mois d'Août et de J</w:t>
      </w:r>
      <w:r w:rsidRPr="005E11D9">
        <w:rPr>
          <w:sz w:val="24"/>
          <w:szCs w:val="24"/>
        </w:rPr>
        <w:t>uillet de la même année,</w:t>
      </w:r>
      <w:r>
        <w:rPr>
          <w:sz w:val="24"/>
          <w:szCs w:val="24"/>
        </w:rPr>
        <w:t xml:space="preserve"> et ce selon</w:t>
      </w:r>
      <w:r w:rsidRPr="005E11D9">
        <w:rPr>
          <w:sz w:val="24"/>
          <w:szCs w:val="24"/>
        </w:rPr>
        <w:t xml:space="preserve"> l'unité de </w:t>
      </w:r>
      <w:r>
        <w:rPr>
          <w:sz w:val="24"/>
          <w:szCs w:val="24"/>
        </w:rPr>
        <w:t>monitoring au sein du c</w:t>
      </w:r>
      <w:r w:rsidRPr="005E11D9">
        <w:rPr>
          <w:sz w:val="24"/>
          <w:szCs w:val="24"/>
        </w:rPr>
        <w:t>entre de sécurité professionnelle de l'Union nationale des journalistes tunisiens</w:t>
      </w:r>
      <w:r>
        <w:rPr>
          <w:sz w:val="24"/>
          <w:szCs w:val="24"/>
        </w:rPr>
        <w:t>, qui a</w:t>
      </w:r>
      <w:r w:rsidRPr="005E11D9">
        <w:rPr>
          <w:sz w:val="24"/>
          <w:szCs w:val="24"/>
        </w:rPr>
        <w:t xml:space="preserve"> enregistré 12 attaques sur 16 </w:t>
      </w:r>
      <w:r>
        <w:rPr>
          <w:sz w:val="24"/>
          <w:szCs w:val="24"/>
        </w:rPr>
        <w:t>alertes</w:t>
      </w:r>
      <w:r w:rsidRPr="005E11D9">
        <w:rPr>
          <w:sz w:val="24"/>
          <w:szCs w:val="24"/>
        </w:rPr>
        <w:t xml:space="preserve"> reçues </w:t>
      </w:r>
      <w:r w:rsidR="00D7105C">
        <w:rPr>
          <w:sz w:val="24"/>
          <w:szCs w:val="24"/>
        </w:rPr>
        <w:t xml:space="preserve">à travers les réseaux sociaux et les médias, ou directement via </w:t>
      </w:r>
      <w:r w:rsidRPr="005E11D9">
        <w:rPr>
          <w:sz w:val="24"/>
          <w:szCs w:val="24"/>
        </w:rPr>
        <w:t xml:space="preserve">les victimes </w:t>
      </w:r>
      <w:r w:rsidR="00D7105C">
        <w:rPr>
          <w:sz w:val="24"/>
          <w:szCs w:val="24"/>
        </w:rPr>
        <w:t>ou les personnes</w:t>
      </w:r>
      <w:r w:rsidRPr="005E11D9">
        <w:rPr>
          <w:sz w:val="24"/>
          <w:szCs w:val="24"/>
        </w:rPr>
        <w:t xml:space="preserve"> qui les ont signalées. </w:t>
      </w:r>
    </w:p>
    <w:p w:rsidR="005E11D9" w:rsidRDefault="005E11D9" w:rsidP="00D7105C">
      <w:pPr>
        <w:jc w:val="both"/>
        <w:rPr>
          <w:sz w:val="24"/>
          <w:szCs w:val="24"/>
        </w:rPr>
      </w:pPr>
      <w:r w:rsidRPr="005E11D9">
        <w:rPr>
          <w:sz w:val="24"/>
          <w:szCs w:val="24"/>
        </w:rPr>
        <w:t>Le</w:t>
      </w:r>
      <w:r w:rsidR="00D64D8D">
        <w:rPr>
          <w:sz w:val="24"/>
          <w:szCs w:val="24"/>
        </w:rPr>
        <w:t xml:space="preserve"> </w:t>
      </w:r>
      <w:r w:rsidR="00D7105C">
        <w:rPr>
          <w:sz w:val="24"/>
          <w:szCs w:val="24"/>
        </w:rPr>
        <w:t>rythme</w:t>
      </w:r>
      <w:r w:rsidRPr="005E11D9">
        <w:rPr>
          <w:sz w:val="24"/>
          <w:szCs w:val="24"/>
        </w:rPr>
        <w:t xml:space="preserve"> des attaques a évolué comme suit :</w:t>
      </w:r>
    </w:p>
    <w:p w:rsidR="00D64D8D" w:rsidRDefault="00D64D8D" w:rsidP="00D7105C">
      <w:pPr>
        <w:jc w:val="both"/>
        <w:rPr>
          <w:sz w:val="24"/>
          <w:szCs w:val="24"/>
        </w:rPr>
      </w:pPr>
    </w:p>
    <w:tbl>
      <w:tblPr>
        <w:tblStyle w:val="Grilledutableau"/>
        <w:tblW w:w="0" w:type="auto"/>
        <w:tblLook w:val="04A0" w:firstRow="1" w:lastRow="0" w:firstColumn="1" w:lastColumn="0" w:noHBand="0" w:noVBand="1"/>
      </w:tblPr>
      <w:tblGrid>
        <w:gridCol w:w="3020"/>
        <w:gridCol w:w="3021"/>
        <w:gridCol w:w="3021"/>
      </w:tblGrid>
      <w:tr w:rsidR="00D64D8D" w:rsidTr="00D64D8D">
        <w:tc>
          <w:tcPr>
            <w:tcW w:w="3020" w:type="dxa"/>
          </w:tcPr>
          <w:p w:rsidR="00D64D8D" w:rsidRPr="00D64D8D" w:rsidRDefault="00D64D8D" w:rsidP="00D64D8D">
            <w:pPr>
              <w:jc w:val="center"/>
              <w:rPr>
                <w:b/>
                <w:bCs/>
                <w:sz w:val="24"/>
                <w:szCs w:val="24"/>
              </w:rPr>
            </w:pPr>
            <w:r w:rsidRPr="00D64D8D">
              <w:rPr>
                <w:b/>
                <w:bCs/>
                <w:sz w:val="24"/>
                <w:szCs w:val="24"/>
              </w:rPr>
              <w:t>Le Mois</w:t>
            </w:r>
          </w:p>
          <w:p w:rsidR="00D64D8D" w:rsidRPr="00D64D8D" w:rsidRDefault="00D64D8D" w:rsidP="00D64D8D">
            <w:pPr>
              <w:jc w:val="center"/>
              <w:rPr>
                <w:b/>
                <w:bCs/>
                <w:sz w:val="24"/>
                <w:szCs w:val="24"/>
              </w:rPr>
            </w:pPr>
          </w:p>
        </w:tc>
        <w:tc>
          <w:tcPr>
            <w:tcW w:w="3021" w:type="dxa"/>
          </w:tcPr>
          <w:p w:rsidR="00D64D8D" w:rsidRPr="00D64D8D" w:rsidRDefault="00D64D8D" w:rsidP="00D64D8D">
            <w:pPr>
              <w:jc w:val="center"/>
              <w:rPr>
                <w:b/>
                <w:bCs/>
                <w:sz w:val="24"/>
                <w:szCs w:val="24"/>
              </w:rPr>
            </w:pPr>
            <w:r w:rsidRPr="00D64D8D">
              <w:rPr>
                <w:b/>
                <w:bCs/>
                <w:sz w:val="24"/>
                <w:szCs w:val="24"/>
              </w:rPr>
              <w:t>Les Attaques</w:t>
            </w:r>
          </w:p>
        </w:tc>
        <w:tc>
          <w:tcPr>
            <w:tcW w:w="3021" w:type="dxa"/>
          </w:tcPr>
          <w:p w:rsidR="00D64D8D" w:rsidRPr="00D64D8D" w:rsidRDefault="00D64D8D" w:rsidP="00D64D8D">
            <w:pPr>
              <w:jc w:val="center"/>
              <w:rPr>
                <w:b/>
                <w:bCs/>
                <w:sz w:val="24"/>
                <w:szCs w:val="24"/>
              </w:rPr>
            </w:pPr>
            <w:r w:rsidRPr="00D64D8D">
              <w:rPr>
                <w:b/>
                <w:bCs/>
                <w:sz w:val="24"/>
                <w:szCs w:val="24"/>
              </w:rPr>
              <w:t>Les Alertes</w:t>
            </w:r>
          </w:p>
        </w:tc>
      </w:tr>
      <w:tr w:rsidR="00D64D8D" w:rsidTr="00D64D8D">
        <w:tc>
          <w:tcPr>
            <w:tcW w:w="3020" w:type="dxa"/>
          </w:tcPr>
          <w:p w:rsidR="00D64D8D" w:rsidRDefault="00D64D8D" w:rsidP="00D64D8D">
            <w:pPr>
              <w:rPr>
                <w:sz w:val="24"/>
                <w:szCs w:val="24"/>
              </w:rPr>
            </w:pPr>
            <w:r>
              <w:rPr>
                <w:sz w:val="24"/>
                <w:szCs w:val="24"/>
              </w:rPr>
              <w:t>Septembre 2022</w:t>
            </w:r>
          </w:p>
          <w:p w:rsidR="00D64D8D" w:rsidRDefault="00D64D8D" w:rsidP="00D64D8D">
            <w:pPr>
              <w:rPr>
                <w:sz w:val="24"/>
                <w:szCs w:val="24"/>
              </w:rPr>
            </w:pPr>
          </w:p>
        </w:tc>
        <w:tc>
          <w:tcPr>
            <w:tcW w:w="3021" w:type="dxa"/>
          </w:tcPr>
          <w:p w:rsidR="00D64D8D" w:rsidRDefault="00D64D8D" w:rsidP="00D7105C">
            <w:pPr>
              <w:jc w:val="both"/>
              <w:rPr>
                <w:sz w:val="24"/>
                <w:szCs w:val="24"/>
              </w:rPr>
            </w:pPr>
            <w:r>
              <w:rPr>
                <w:sz w:val="24"/>
                <w:szCs w:val="24"/>
              </w:rPr>
              <w:t>12</w:t>
            </w:r>
          </w:p>
        </w:tc>
        <w:tc>
          <w:tcPr>
            <w:tcW w:w="3021" w:type="dxa"/>
          </w:tcPr>
          <w:p w:rsidR="00D64D8D" w:rsidRDefault="00D64D8D" w:rsidP="00D7105C">
            <w:pPr>
              <w:jc w:val="both"/>
              <w:rPr>
                <w:sz w:val="24"/>
                <w:szCs w:val="24"/>
              </w:rPr>
            </w:pPr>
            <w:r>
              <w:rPr>
                <w:sz w:val="24"/>
                <w:szCs w:val="24"/>
              </w:rPr>
              <w:t>16</w:t>
            </w:r>
          </w:p>
        </w:tc>
      </w:tr>
      <w:tr w:rsidR="00D64D8D" w:rsidTr="00D64D8D">
        <w:tc>
          <w:tcPr>
            <w:tcW w:w="3020" w:type="dxa"/>
            <w:vAlign w:val="center"/>
          </w:tcPr>
          <w:p w:rsidR="00D64D8D" w:rsidRDefault="00D64D8D" w:rsidP="00D64D8D">
            <w:pPr>
              <w:rPr>
                <w:sz w:val="24"/>
                <w:szCs w:val="24"/>
              </w:rPr>
            </w:pPr>
            <w:r>
              <w:rPr>
                <w:sz w:val="24"/>
                <w:szCs w:val="24"/>
              </w:rPr>
              <w:t>Août 2022</w:t>
            </w:r>
          </w:p>
          <w:p w:rsidR="00D64D8D" w:rsidRDefault="00D64D8D" w:rsidP="00D64D8D">
            <w:pPr>
              <w:rPr>
                <w:sz w:val="24"/>
                <w:szCs w:val="24"/>
              </w:rPr>
            </w:pPr>
          </w:p>
        </w:tc>
        <w:tc>
          <w:tcPr>
            <w:tcW w:w="3021" w:type="dxa"/>
          </w:tcPr>
          <w:p w:rsidR="00D64D8D" w:rsidRDefault="00D64D8D" w:rsidP="00D7105C">
            <w:pPr>
              <w:jc w:val="both"/>
              <w:rPr>
                <w:sz w:val="24"/>
                <w:szCs w:val="24"/>
              </w:rPr>
            </w:pPr>
            <w:r>
              <w:rPr>
                <w:sz w:val="24"/>
                <w:szCs w:val="24"/>
              </w:rPr>
              <w:t>15</w:t>
            </w:r>
          </w:p>
        </w:tc>
        <w:tc>
          <w:tcPr>
            <w:tcW w:w="3021" w:type="dxa"/>
          </w:tcPr>
          <w:p w:rsidR="00D64D8D" w:rsidRDefault="00D64D8D" w:rsidP="00D7105C">
            <w:pPr>
              <w:jc w:val="both"/>
              <w:rPr>
                <w:sz w:val="24"/>
                <w:szCs w:val="24"/>
              </w:rPr>
            </w:pPr>
            <w:r>
              <w:rPr>
                <w:sz w:val="24"/>
                <w:szCs w:val="24"/>
              </w:rPr>
              <w:t>20</w:t>
            </w:r>
          </w:p>
        </w:tc>
      </w:tr>
      <w:tr w:rsidR="00D64D8D" w:rsidTr="00D64D8D">
        <w:tc>
          <w:tcPr>
            <w:tcW w:w="3020" w:type="dxa"/>
            <w:vAlign w:val="center"/>
          </w:tcPr>
          <w:p w:rsidR="00D64D8D" w:rsidRDefault="00D64D8D" w:rsidP="00D64D8D">
            <w:pPr>
              <w:rPr>
                <w:sz w:val="24"/>
                <w:szCs w:val="24"/>
              </w:rPr>
            </w:pPr>
            <w:r>
              <w:rPr>
                <w:sz w:val="24"/>
                <w:szCs w:val="24"/>
              </w:rPr>
              <w:t>Juillet 2022</w:t>
            </w:r>
          </w:p>
          <w:p w:rsidR="00D64D8D" w:rsidRDefault="00D64D8D" w:rsidP="00D64D8D">
            <w:pPr>
              <w:rPr>
                <w:sz w:val="24"/>
                <w:szCs w:val="24"/>
              </w:rPr>
            </w:pPr>
          </w:p>
        </w:tc>
        <w:tc>
          <w:tcPr>
            <w:tcW w:w="3021" w:type="dxa"/>
          </w:tcPr>
          <w:p w:rsidR="00D64D8D" w:rsidRDefault="00D64D8D" w:rsidP="00D7105C">
            <w:pPr>
              <w:jc w:val="both"/>
              <w:rPr>
                <w:sz w:val="24"/>
                <w:szCs w:val="24"/>
              </w:rPr>
            </w:pPr>
            <w:r>
              <w:rPr>
                <w:sz w:val="24"/>
                <w:szCs w:val="24"/>
              </w:rPr>
              <w:t>48</w:t>
            </w:r>
          </w:p>
        </w:tc>
        <w:tc>
          <w:tcPr>
            <w:tcW w:w="3021" w:type="dxa"/>
          </w:tcPr>
          <w:p w:rsidR="00D64D8D" w:rsidRDefault="00D64D8D" w:rsidP="00D7105C">
            <w:pPr>
              <w:jc w:val="both"/>
              <w:rPr>
                <w:sz w:val="24"/>
                <w:szCs w:val="24"/>
              </w:rPr>
            </w:pPr>
            <w:r>
              <w:rPr>
                <w:sz w:val="24"/>
                <w:szCs w:val="24"/>
              </w:rPr>
              <w:t>60</w:t>
            </w:r>
          </w:p>
        </w:tc>
      </w:tr>
    </w:tbl>
    <w:p w:rsidR="00D64D8D" w:rsidRDefault="00D64D8D" w:rsidP="00D7105C">
      <w:pPr>
        <w:jc w:val="both"/>
        <w:rPr>
          <w:sz w:val="24"/>
          <w:szCs w:val="24"/>
        </w:rPr>
      </w:pPr>
    </w:p>
    <w:p w:rsidR="006E72D0" w:rsidRPr="006E72D0" w:rsidRDefault="006E72D0" w:rsidP="002A075F">
      <w:pPr>
        <w:jc w:val="both"/>
        <w:rPr>
          <w:sz w:val="24"/>
          <w:szCs w:val="24"/>
        </w:rPr>
      </w:pPr>
      <w:r w:rsidRPr="006E72D0">
        <w:rPr>
          <w:sz w:val="24"/>
          <w:szCs w:val="24"/>
        </w:rPr>
        <w:t>Les a</w:t>
      </w:r>
      <w:r>
        <w:rPr>
          <w:sz w:val="24"/>
          <w:szCs w:val="24"/>
        </w:rPr>
        <w:t>ttaques</w:t>
      </w:r>
      <w:r w:rsidRPr="006E72D0">
        <w:rPr>
          <w:sz w:val="24"/>
          <w:szCs w:val="24"/>
        </w:rPr>
        <w:t xml:space="preserve"> ont </w:t>
      </w:r>
      <w:r>
        <w:rPr>
          <w:sz w:val="24"/>
          <w:szCs w:val="24"/>
        </w:rPr>
        <w:t>visé</w:t>
      </w:r>
      <w:r w:rsidRPr="006E72D0">
        <w:rPr>
          <w:sz w:val="24"/>
          <w:szCs w:val="24"/>
        </w:rPr>
        <w:t xml:space="preserve"> 19 victimes, réparties par </w:t>
      </w:r>
      <w:r>
        <w:rPr>
          <w:sz w:val="24"/>
          <w:szCs w:val="24"/>
        </w:rPr>
        <w:t xml:space="preserve">genre comme suit : </w:t>
      </w:r>
      <w:r w:rsidRPr="006E72D0">
        <w:rPr>
          <w:sz w:val="24"/>
          <w:szCs w:val="24"/>
        </w:rPr>
        <w:t xml:space="preserve">16 hommes et 3 femmes. </w:t>
      </w:r>
      <w:r>
        <w:rPr>
          <w:sz w:val="24"/>
          <w:szCs w:val="24"/>
        </w:rPr>
        <w:t xml:space="preserve">Ces mêmes </w:t>
      </w:r>
      <w:r w:rsidRPr="006E72D0">
        <w:rPr>
          <w:sz w:val="24"/>
          <w:szCs w:val="24"/>
        </w:rPr>
        <w:t xml:space="preserve">victimes </w:t>
      </w:r>
      <w:r w:rsidR="002A075F">
        <w:rPr>
          <w:sz w:val="24"/>
          <w:szCs w:val="24"/>
        </w:rPr>
        <w:t>se répartissent</w:t>
      </w:r>
      <w:r w:rsidRPr="006E72D0">
        <w:rPr>
          <w:sz w:val="24"/>
          <w:szCs w:val="24"/>
        </w:rPr>
        <w:t xml:space="preserve"> selon les </w:t>
      </w:r>
      <w:r w:rsidR="005738ED">
        <w:rPr>
          <w:sz w:val="24"/>
          <w:szCs w:val="24"/>
        </w:rPr>
        <w:t xml:space="preserve">postes occupés tel que suit : </w:t>
      </w:r>
      <w:r w:rsidRPr="006E72D0">
        <w:rPr>
          <w:sz w:val="24"/>
          <w:szCs w:val="24"/>
        </w:rPr>
        <w:t xml:space="preserve">8 journalistes, 4 photojournalistes, 3 commentateurs, 3 présentateurs d'émissions et </w:t>
      </w:r>
      <w:r w:rsidR="005738ED">
        <w:rPr>
          <w:sz w:val="24"/>
          <w:szCs w:val="24"/>
        </w:rPr>
        <w:t>un accompagnateur d’équipe</w:t>
      </w:r>
      <w:r w:rsidRPr="006E72D0">
        <w:rPr>
          <w:sz w:val="24"/>
          <w:szCs w:val="24"/>
        </w:rPr>
        <w:t>.</w:t>
      </w:r>
    </w:p>
    <w:p w:rsidR="006E72D0" w:rsidRPr="006E72D0" w:rsidRDefault="002A075F" w:rsidP="002A075F">
      <w:pPr>
        <w:jc w:val="both"/>
        <w:rPr>
          <w:sz w:val="24"/>
          <w:szCs w:val="24"/>
        </w:rPr>
      </w:pPr>
      <w:r>
        <w:rPr>
          <w:sz w:val="24"/>
          <w:szCs w:val="24"/>
        </w:rPr>
        <w:t>Les journalistes et photojournalistes, hommes et femmes, agressés</w:t>
      </w:r>
      <w:r w:rsidR="006E72D0" w:rsidRPr="006E72D0">
        <w:rPr>
          <w:sz w:val="24"/>
          <w:szCs w:val="24"/>
        </w:rPr>
        <w:t xml:space="preserve"> travaillent dans 11 médias, 6 chaînes de télévision, 4 chaî</w:t>
      </w:r>
      <w:r>
        <w:rPr>
          <w:sz w:val="24"/>
          <w:szCs w:val="24"/>
        </w:rPr>
        <w:t>nes de radio et un site web,</w:t>
      </w:r>
      <w:r w:rsidR="006E72D0" w:rsidRPr="006E72D0">
        <w:rPr>
          <w:sz w:val="24"/>
          <w:szCs w:val="24"/>
        </w:rPr>
        <w:t xml:space="preserve"> 9 établissements privés et 2 établissements publics</w:t>
      </w:r>
      <w:r>
        <w:rPr>
          <w:sz w:val="24"/>
          <w:szCs w:val="24"/>
        </w:rPr>
        <w:t xml:space="preserve"> en total,</w:t>
      </w:r>
      <w:r w:rsidR="006E72D0" w:rsidRPr="006E72D0">
        <w:rPr>
          <w:sz w:val="24"/>
          <w:szCs w:val="24"/>
        </w:rPr>
        <w:t xml:space="preserve"> dont 9 établissements tunisiens et 8 établissements étrangers.</w:t>
      </w:r>
    </w:p>
    <w:p w:rsidR="006E72D0" w:rsidRPr="006E72D0" w:rsidRDefault="00CE4509" w:rsidP="006E72D0">
      <w:pPr>
        <w:jc w:val="both"/>
        <w:rPr>
          <w:sz w:val="24"/>
          <w:szCs w:val="24"/>
        </w:rPr>
      </w:pPr>
      <w:r>
        <w:rPr>
          <w:sz w:val="24"/>
          <w:szCs w:val="24"/>
        </w:rPr>
        <w:t>Ils/elles</w:t>
      </w:r>
      <w:r w:rsidR="006E72D0" w:rsidRPr="006E72D0">
        <w:rPr>
          <w:sz w:val="24"/>
          <w:szCs w:val="24"/>
        </w:rPr>
        <w:t xml:space="preserve"> ont travaillé sur des sujets politiques à 4 reprises, sociaux à 2 reprises, économiques à 2 reprises, sportifs à 1 reprise, judiciaires à 1 reprise, droits de l'ho</w:t>
      </w:r>
      <w:r>
        <w:rPr>
          <w:sz w:val="24"/>
          <w:szCs w:val="24"/>
        </w:rPr>
        <w:t>mme à 1 reprise et</w:t>
      </w:r>
      <w:r w:rsidR="006E72D0" w:rsidRPr="006E72D0">
        <w:rPr>
          <w:sz w:val="24"/>
          <w:szCs w:val="24"/>
        </w:rPr>
        <w:t xml:space="preserve"> anti-corruption à 1 reprise.</w:t>
      </w:r>
    </w:p>
    <w:p w:rsidR="006E72D0" w:rsidRPr="006E72D0" w:rsidRDefault="00CE4509" w:rsidP="00CE4509">
      <w:pPr>
        <w:jc w:val="both"/>
        <w:rPr>
          <w:sz w:val="24"/>
          <w:szCs w:val="24"/>
        </w:rPr>
      </w:pPr>
      <w:r>
        <w:rPr>
          <w:sz w:val="24"/>
          <w:szCs w:val="24"/>
        </w:rPr>
        <w:t xml:space="preserve">Les attaques </w:t>
      </w:r>
      <w:r w:rsidR="006E72D0" w:rsidRPr="006E72D0">
        <w:rPr>
          <w:sz w:val="24"/>
          <w:szCs w:val="24"/>
        </w:rPr>
        <w:t>co</w:t>
      </w:r>
      <w:r>
        <w:rPr>
          <w:sz w:val="24"/>
          <w:szCs w:val="24"/>
        </w:rPr>
        <w:t>nsistent en</w:t>
      </w:r>
      <w:r w:rsidR="006E72D0" w:rsidRPr="006E72D0">
        <w:rPr>
          <w:sz w:val="24"/>
          <w:szCs w:val="24"/>
        </w:rPr>
        <w:t xml:space="preserve"> 3 agressions verbales, 3 cas de harcèlement, 2 agressions physiques, 2 interdictions de travail, un cas de rétention d'informations et un cas d'incitation</w:t>
      </w:r>
      <w:r>
        <w:rPr>
          <w:sz w:val="24"/>
          <w:szCs w:val="24"/>
        </w:rPr>
        <w:t xml:space="preserve"> à la haine</w:t>
      </w:r>
      <w:r w:rsidR="006E72D0" w:rsidRPr="006E72D0">
        <w:rPr>
          <w:sz w:val="24"/>
          <w:szCs w:val="24"/>
        </w:rPr>
        <w:t>.</w:t>
      </w:r>
    </w:p>
    <w:p w:rsidR="006E72D0" w:rsidRPr="006E72D0" w:rsidRDefault="00CE4509" w:rsidP="006E72D0">
      <w:pPr>
        <w:jc w:val="both"/>
        <w:rPr>
          <w:sz w:val="24"/>
          <w:szCs w:val="24"/>
        </w:rPr>
      </w:pPr>
      <w:r>
        <w:rPr>
          <w:sz w:val="24"/>
          <w:szCs w:val="24"/>
        </w:rPr>
        <w:t>Les attaques ont eu lieu dans</w:t>
      </w:r>
      <w:r w:rsidR="006E72D0" w:rsidRPr="006E72D0">
        <w:rPr>
          <w:sz w:val="24"/>
          <w:szCs w:val="24"/>
        </w:rPr>
        <w:t xml:space="preserve"> l'espace virtuel à 4 reprises et dans l'espace réel à 8 reprises.</w:t>
      </w:r>
    </w:p>
    <w:p w:rsidR="006E72D0" w:rsidRPr="006E72D0" w:rsidRDefault="00CE4509" w:rsidP="00CE4509">
      <w:pPr>
        <w:jc w:val="both"/>
        <w:rPr>
          <w:sz w:val="24"/>
          <w:szCs w:val="24"/>
        </w:rPr>
      </w:pPr>
      <w:r>
        <w:rPr>
          <w:sz w:val="24"/>
          <w:szCs w:val="24"/>
        </w:rPr>
        <w:t>Les responsables de ces agressions sont d</w:t>
      </w:r>
      <w:r w:rsidR="006E72D0" w:rsidRPr="006E72D0">
        <w:rPr>
          <w:sz w:val="24"/>
          <w:szCs w:val="24"/>
        </w:rPr>
        <w:t xml:space="preserve">es politiciens et des </w:t>
      </w:r>
      <w:r>
        <w:rPr>
          <w:sz w:val="24"/>
          <w:szCs w:val="24"/>
        </w:rPr>
        <w:t xml:space="preserve">fonctionnaires, </w:t>
      </w:r>
      <w:r w:rsidR="006E72D0" w:rsidRPr="006E72D0">
        <w:rPr>
          <w:sz w:val="24"/>
          <w:szCs w:val="24"/>
        </w:rPr>
        <w:t>à 3 reprises chacun, des citoyens, des forces de sécurité, la présidence de la République, des employés d'une entreprise privée, des militants des médias sociaux et des responsables gouvernementaux dans un cas chacun.</w:t>
      </w:r>
    </w:p>
    <w:p w:rsidR="006E72D0" w:rsidRDefault="006E72D0" w:rsidP="00CE4509">
      <w:pPr>
        <w:jc w:val="both"/>
        <w:rPr>
          <w:sz w:val="24"/>
          <w:szCs w:val="24"/>
        </w:rPr>
      </w:pPr>
      <w:r w:rsidRPr="006E72D0">
        <w:rPr>
          <w:sz w:val="24"/>
          <w:szCs w:val="24"/>
        </w:rPr>
        <w:t xml:space="preserve">Les attaques contre des </w:t>
      </w:r>
      <w:r w:rsidR="00CE4509">
        <w:rPr>
          <w:sz w:val="24"/>
          <w:szCs w:val="24"/>
        </w:rPr>
        <w:t>journalistes et des photojournalistes, hommes et femmes, ont eu lieu</w:t>
      </w:r>
      <w:r w:rsidRPr="006E72D0">
        <w:rPr>
          <w:sz w:val="24"/>
          <w:szCs w:val="24"/>
        </w:rPr>
        <w:t xml:space="preserve"> </w:t>
      </w:r>
      <w:r w:rsidR="00CE4509">
        <w:rPr>
          <w:sz w:val="24"/>
          <w:szCs w:val="24"/>
        </w:rPr>
        <w:t>à Tunis,</w:t>
      </w:r>
      <w:r w:rsidRPr="006E72D0">
        <w:rPr>
          <w:sz w:val="24"/>
          <w:szCs w:val="24"/>
        </w:rPr>
        <w:t xml:space="preserve"> </w:t>
      </w:r>
      <w:r w:rsidR="00CE4509">
        <w:rPr>
          <w:sz w:val="24"/>
          <w:szCs w:val="24"/>
        </w:rPr>
        <w:t>à 1</w:t>
      </w:r>
      <w:r w:rsidR="00CE4509">
        <w:rPr>
          <w:sz w:val="24"/>
          <w:szCs w:val="24"/>
        </w:rPr>
        <w:t xml:space="preserve">0 reprises </w:t>
      </w:r>
      <w:r w:rsidRPr="006E72D0">
        <w:rPr>
          <w:sz w:val="24"/>
          <w:szCs w:val="24"/>
        </w:rPr>
        <w:t xml:space="preserve">et à une </w:t>
      </w:r>
      <w:r w:rsidR="00CE4509">
        <w:rPr>
          <w:sz w:val="24"/>
          <w:szCs w:val="24"/>
        </w:rPr>
        <w:t>fois à</w:t>
      </w:r>
      <w:r w:rsidRPr="006E72D0">
        <w:rPr>
          <w:sz w:val="24"/>
          <w:szCs w:val="24"/>
        </w:rPr>
        <w:t xml:space="preserve"> Toz</w:t>
      </w:r>
      <w:r w:rsidR="00CE4509">
        <w:rPr>
          <w:sz w:val="24"/>
          <w:szCs w:val="24"/>
        </w:rPr>
        <w:t>eur ainsi qu’à</w:t>
      </w:r>
      <w:r w:rsidRPr="006E72D0">
        <w:rPr>
          <w:sz w:val="24"/>
          <w:szCs w:val="24"/>
        </w:rPr>
        <w:t xml:space="preserve"> Kasserine.</w:t>
      </w:r>
    </w:p>
    <w:p w:rsidR="00CE4509" w:rsidRDefault="00CE4509" w:rsidP="00CE4509">
      <w:pPr>
        <w:jc w:val="both"/>
        <w:rPr>
          <w:sz w:val="24"/>
          <w:szCs w:val="24"/>
        </w:rPr>
      </w:pPr>
    </w:p>
    <w:p w:rsidR="00F408E9" w:rsidRPr="00F408E9" w:rsidRDefault="00F408E9" w:rsidP="00F408E9">
      <w:pPr>
        <w:jc w:val="center"/>
        <w:rPr>
          <w:b/>
          <w:bCs/>
          <w:sz w:val="28"/>
          <w:szCs w:val="28"/>
        </w:rPr>
      </w:pPr>
      <w:r w:rsidRPr="00F408E9">
        <w:rPr>
          <w:b/>
          <w:bCs/>
          <w:sz w:val="28"/>
          <w:szCs w:val="28"/>
        </w:rPr>
        <w:lastRenderedPageBreak/>
        <w:t xml:space="preserve">Les </w:t>
      </w:r>
      <w:r w:rsidRPr="00F408E9">
        <w:rPr>
          <w:b/>
          <w:bCs/>
          <w:sz w:val="28"/>
          <w:szCs w:val="28"/>
        </w:rPr>
        <w:t>Recommandations</w:t>
      </w:r>
    </w:p>
    <w:p w:rsidR="00F408E9" w:rsidRPr="00F408E9" w:rsidRDefault="00F408E9" w:rsidP="00F408E9">
      <w:pPr>
        <w:jc w:val="both"/>
        <w:rPr>
          <w:sz w:val="24"/>
          <w:szCs w:val="24"/>
        </w:rPr>
      </w:pPr>
    </w:p>
    <w:p w:rsidR="00F408E9" w:rsidRPr="00F408E9" w:rsidRDefault="00F408E9" w:rsidP="00F408E9">
      <w:pPr>
        <w:jc w:val="both"/>
        <w:rPr>
          <w:b/>
          <w:bCs/>
          <w:sz w:val="24"/>
          <w:szCs w:val="24"/>
        </w:rPr>
      </w:pPr>
      <w:r w:rsidRPr="00F408E9">
        <w:rPr>
          <w:b/>
          <w:bCs/>
          <w:sz w:val="24"/>
          <w:szCs w:val="24"/>
        </w:rPr>
        <w:t>Le Syndicat National des Journalistes Tunisiens,</w:t>
      </w:r>
      <w:r w:rsidRPr="00F408E9">
        <w:rPr>
          <w:b/>
          <w:bCs/>
          <w:sz w:val="24"/>
          <w:szCs w:val="24"/>
        </w:rPr>
        <w:t xml:space="preserve"> et</w:t>
      </w:r>
      <w:r w:rsidRPr="00F408E9">
        <w:rPr>
          <w:b/>
          <w:bCs/>
          <w:sz w:val="24"/>
          <w:szCs w:val="24"/>
        </w:rPr>
        <w:t xml:space="preserve"> après les agressions enregistrées contre des journalistes et photo</w:t>
      </w:r>
      <w:r w:rsidRPr="00F408E9">
        <w:rPr>
          <w:b/>
          <w:bCs/>
          <w:sz w:val="24"/>
          <w:szCs w:val="24"/>
        </w:rPr>
        <w:t xml:space="preserve">journalistes, hommes et femmes, au cours du </w:t>
      </w:r>
      <w:r>
        <w:rPr>
          <w:b/>
          <w:bCs/>
          <w:sz w:val="24"/>
          <w:szCs w:val="24"/>
        </w:rPr>
        <w:t>mois de Septembre 2022, appelle</w:t>
      </w:r>
      <w:r w:rsidRPr="00F408E9">
        <w:rPr>
          <w:b/>
          <w:bCs/>
          <w:sz w:val="24"/>
          <w:szCs w:val="24"/>
        </w:rPr>
        <w:t xml:space="preserve"> :</w:t>
      </w:r>
    </w:p>
    <w:p w:rsidR="00F408E9" w:rsidRPr="00F408E9" w:rsidRDefault="00F408E9" w:rsidP="00F408E9">
      <w:pPr>
        <w:jc w:val="both"/>
        <w:rPr>
          <w:b/>
          <w:bCs/>
          <w:sz w:val="24"/>
          <w:szCs w:val="24"/>
        </w:rPr>
      </w:pPr>
      <w:r w:rsidRPr="00F408E9">
        <w:rPr>
          <w:b/>
          <w:bCs/>
          <w:sz w:val="24"/>
          <w:szCs w:val="24"/>
        </w:rPr>
        <w:t>1. L</w:t>
      </w:r>
      <w:r>
        <w:rPr>
          <w:b/>
          <w:bCs/>
          <w:sz w:val="24"/>
          <w:szCs w:val="24"/>
        </w:rPr>
        <w:t xml:space="preserve">a Présidence de la République </w:t>
      </w:r>
      <w:r w:rsidRPr="00F408E9">
        <w:rPr>
          <w:b/>
          <w:bCs/>
          <w:sz w:val="24"/>
          <w:szCs w:val="24"/>
        </w:rPr>
        <w:t>:</w:t>
      </w:r>
    </w:p>
    <w:p w:rsidR="00F408E9" w:rsidRDefault="00F408E9" w:rsidP="00FA65E6">
      <w:pPr>
        <w:jc w:val="both"/>
        <w:rPr>
          <w:sz w:val="24"/>
          <w:szCs w:val="24"/>
        </w:rPr>
      </w:pPr>
      <w:r w:rsidRPr="00F408E9">
        <w:rPr>
          <w:sz w:val="24"/>
          <w:szCs w:val="24"/>
        </w:rPr>
        <w:t xml:space="preserve">• </w:t>
      </w:r>
      <w:r>
        <w:rPr>
          <w:sz w:val="24"/>
          <w:szCs w:val="24"/>
        </w:rPr>
        <w:t>Au r</w:t>
      </w:r>
      <w:r w:rsidRPr="00F408E9">
        <w:rPr>
          <w:sz w:val="24"/>
          <w:szCs w:val="24"/>
        </w:rPr>
        <w:t xml:space="preserve">etrait du décret n° 54 du 13 septembre 2022, en raison du danger qu'il fait peser sur l'essence </w:t>
      </w:r>
      <w:r>
        <w:rPr>
          <w:sz w:val="24"/>
          <w:szCs w:val="24"/>
        </w:rPr>
        <w:t xml:space="preserve">même </w:t>
      </w:r>
      <w:r w:rsidRPr="00F408E9">
        <w:rPr>
          <w:sz w:val="24"/>
          <w:szCs w:val="24"/>
        </w:rPr>
        <w:t>de la liberté de la presse, et l'adoption d'une approche parti</w:t>
      </w:r>
      <w:r w:rsidR="00FA65E6">
        <w:rPr>
          <w:sz w:val="24"/>
          <w:szCs w:val="24"/>
        </w:rPr>
        <w:t>cipative dans la rédaction de</w:t>
      </w:r>
      <w:r w:rsidRPr="00F408E9">
        <w:rPr>
          <w:sz w:val="24"/>
          <w:szCs w:val="24"/>
        </w:rPr>
        <w:t xml:space="preserve">s </w:t>
      </w:r>
      <w:r w:rsidR="00FA65E6">
        <w:rPr>
          <w:sz w:val="24"/>
          <w:szCs w:val="24"/>
        </w:rPr>
        <w:t>circulaires</w:t>
      </w:r>
      <w:r w:rsidRPr="00F408E9">
        <w:rPr>
          <w:sz w:val="24"/>
          <w:szCs w:val="24"/>
        </w:rPr>
        <w:t xml:space="preserve"> lié</w:t>
      </w:r>
      <w:r w:rsidR="00FA65E6">
        <w:rPr>
          <w:sz w:val="24"/>
          <w:szCs w:val="24"/>
        </w:rPr>
        <w:t>es</w:t>
      </w:r>
      <w:r w:rsidRPr="00F408E9">
        <w:rPr>
          <w:sz w:val="24"/>
          <w:szCs w:val="24"/>
        </w:rPr>
        <w:t xml:space="preserve"> aux droits et libertés dans le cadr</w:t>
      </w:r>
      <w:r w:rsidR="00FA65E6">
        <w:rPr>
          <w:sz w:val="24"/>
          <w:szCs w:val="24"/>
        </w:rPr>
        <w:t>e de la garantie</w:t>
      </w:r>
      <w:r w:rsidRPr="00F408E9">
        <w:rPr>
          <w:sz w:val="24"/>
          <w:szCs w:val="24"/>
        </w:rPr>
        <w:t xml:space="preserve"> des droits et </w:t>
      </w:r>
      <w:r w:rsidR="00FA65E6">
        <w:rPr>
          <w:sz w:val="24"/>
          <w:szCs w:val="24"/>
        </w:rPr>
        <w:t xml:space="preserve">des </w:t>
      </w:r>
      <w:r w:rsidRPr="00F408E9">
        <w:rPr>
          <w:sz w:val="24"/>
          <w:szCs w:val="24"/>
        </w:rPr>
        <w:t>libertés</w:t>
      </w:r>
    </w:p>
    <w:p w:rsidR="008B1861" w:rsidRDefault="008B1861" w:rsidP="00FA65E6">
      <w:pPr>
        <w:jc w:val="both"/>
        <w:rPr>
          <w:b/>
          <w:bCs/>
          <w:sz w:val="24"/>
          <w:szCs w:val="24"/>
        </w:rPr>
      </w:pPr>
      <w:r w:rsidRPr="008B1861">
        <w:rPr>
          <w:b/>
          <w:bCs/>
          <w:sz w:val="24"/>
          <w:szCs w:val="24"/>
        </w:rPr>
        <w:t xml:space="preserve">2.  La </w:t>
      </w:r>
      <w:r>
        <w:rPr>
          <w:b/>
          <w:bCs/>
          <w:sz w:val="24"/>
          <w:szCs w:val="24"/>
        </w:rPr>
        <w:t>Présidence du Gouvernement</w:t>
      </w:r>
      <w:r w:rsidRPr="008B1861">
        <w:rPr>
          <w:b/>
          <w:bCs/>
          <w:sz w:val="24"/>
          <w:szCs w:val="24"/>
        </w:rPr>
        <w:t> :</w:t>
      </w:r>
    </w:p>
    <w:p w:rsidR="008B1861" w:rsidRPr="008B1861" w:rsidRDefault="008B1861" w:rsidP="008B1861">
      <w:pPr>
        <w:jc w:val="both"/>
        <w:rPr>
          <w:sz w:val="24"/>
          <w:szCs w:val="24"/>
        </w:rPr>
      </w:pPr>
      <w:r w:rsidRPr="008B1861">
        <w:rPr>
          <w:sz w:val="24"/>
          <w:szCs w:val="24"/>
        </w:rPr>
        <w:t xml:space="preserve">• </w:t>
      </w:r>
      <w:r>
        <w:rPr>
          <w:sz w:val="24"/>
          <w:szCs w:val="24"/>
        </w:rPr>
        <w:t>A la modification de</w:t>
      </w:r>
      <w:r w:rsidRPr="008B1861">
        <w:rPr>
          <w:sz w:val="24"/>
          <w:szCs w:val="24"/>
        </w:rPr>
        <w:t xml:space="preserve"> sa politique de communication et </w:t>
      </w:r>
      <w:r>
        <w:rPr>
          <w:sz w:val="24"/>
          <w:szCs w:val="24"/>
        </w:rPr>
        <w:t xml:space="preserve"> à l’adapter</w:t>
      </w:r>
      <w:r w:rsidRPr="008B1861">
        <w:rPr>
          <w:sz w:val="24"/>
          <w:szCs w:val="24"/>
        </w:rPr>
        <w:t xml:space="preserve"> aux normes d'é</w:t>
      </w:r>
      <w:r>
        <w:rPr>
          <w:sz w:val="24"/>
          <w:szCs w:val="24"/>
        </w:rPr>
        <w:t>quité</w:t>
      </w:r>
      <w:r w:rsidRPr="008B1861">
        <w:rPr>
          <w:sz w:val="24"/>
          <w:szCs w:val="24"/>
        </w:rPr>
        <w:t xml:space="preserve"> et d'égalité des chances entre toutes les institutions médiatiques,</w:t>
      </w:r>
      <w:r>
        <w:rPr>
          <w:sz w:val="24"/>
          <w:szCs w:val="24"/>
        </w:rPr>
        <w:t xml:space="preserve"> à</w:t>
      </w:r>
      <w:r w:rsidRPr="008B1861">
        <w:rPr>
          <w:sz w:val="24"/>
          <w:szCs w:val="24"/>
        </w:rPr>
        <w:t xml:space="preserve"> adopter la transparence et </w:t>
      </w:r>
      <w:r>
        <w:rPr>
          <w:sz w:val="24"/>
          <w:szCs w:val="24"/>
        </w:rPr>
        <w:t xml:space="preserve">à </w:t>
      </w:r>
      <w:r w:rsidRPr="008B1861">
        <w:rPr>
          <w:sz w:val="24"/>
          <w:szCs w:val="24"/>
        </w:rPr>
        <w:t>offrir un espace interactif aux journalistes, loin de toutes les restrictions qui pourraient entraver la libre circulation de l'information.</w:t>
      </w:r>
    </w:p>
    <w:p w:rsidR="008B1861" w:rsidRPr="008B1861" w:rsidRDefault="008B1861" w:rsidP="00FE5A80">
      <w:pPr>
        <w:jc w:val="both"/>
        <w:rPr>
          <w:sz w:val="24"/>
          <w:szCs w:val="24"/>
        </w:rPr>
      </w:pPr>
      <w:r w:rsidRPr="008B1861">
        <w:rPr>
          <w:sz w:val="24"/>
          <w:szCs w:val="24"/>
        </w:rPr>
        <w:t xml:space="preserve">• </w:t>
      </w:r>
      <w:r w:rsidR="00FE5A80">
        <w:rPr>
          <w:sz w:val="24"/>
          <w:szCs w:val="24"/>
        </w:rPr>
        <w:t>Au</w:t>
      </w:r>
      <w:r w:rsidRPr="008B1861">
        <w:rPr>
          <w:sz w:val="24"/>
          <w:szCs w:val="24"/>
        </w:rPr>
        <w:t xml:space="preserve"> retrait des </w:t>
      </w:r>
      <w:r w:rsidR="00FE5A80">
        <w:rPr>
          <w:sz w:val="24"/>
          <w:szCs w:val="24"/>
        </w:rPr>
        <w:t>circulaire</w:t>
      </w:r>
      <w:r w:rsidRPr="008B1861">
        <w:rPr>
          <w:sz w:val="24"/>
          <w:szCs w:val="24"/>
        </w:rPr>
        <w:t xml:space="preserve">s qui constituent une entrave illégale au droit des journalistes d'obtenir des informations, dont le plus notable est la </w:t>
      </w:r>
      <w:r w:rsidR="00FE5A80">
        <w:rPr>
          <w:sz w:val="24"/>
          <w:szCs w:val="24"/>
        </w:rPr>
        <w:t>circulaire</w:t>
      </w:r>
      <w:r w:rsidRPr="008B1861">
        <w:rPr>
          <w:sz w:val="24"/>
          <w:szCs w:val="24"/>
        </w:rPr>
        <w:t xml:space="preserve"> n°19.</w:t>
      </w:r>
    </w:p>
    <w:p w:rsidR="008B1861" w:rsidRDefault="00FE5A80" w:rsidP="00E87610">
      <w:pPr>
        <w:jc w:val="both"/>
        <w:rPr>
          <w:sz w:val="24"/>
          <w:szCs w:val="24"/>
        </w:rPr>
      </w:pPr>
      <w:r>
        <w:rPr>
          <w:sz w:val="24"/>
          <w:szCs w:val="24"/>
        </w:rPr>
        <w:t>• A o</w:t>
      </w:r>
      <w:r w:rsidR="008B1861" w:rsidRPr="008B1861">
        <w:rPr>
          <w:sz w:val="24"/>
          <w:szCs w:val="24"/>
        </w:rPr>
        <w:t xml:space="preserve">bliger les administrations publiques qui </w:t>
      </w:r>
      <w:r>
        <w:rPr>
          <w:sz w:val="24"/>
          <w:szCs w:val="24"/>
        </w:rPr>
        <w:t>sont sous leur égide</w:t>
      </w:r>
      <w:r w:rsidR="008B1861" w:rsidRPr="008B1861">
        <w:rPr>
          <w:sz w:val="24"/>
          <w:szCs w:val="24"/>
        </w:rPr>
        <w:t xml:space="preserve"> à fournir aux institutions médiatiques des informations relatives aux affaires publiques et à ne pas entraver leur droit d'obtenir des informations auprès de</w:t>
      </w:r>
      <w:r w:rsidR="00E87610">
        <w:rPr>
          <w:sz w:val="24"/>
          <w:szCs w:val="24"/>
        </w:rPr>
        <w:t>s</w:t>
      </w:r>
      <w:r w:rsidR="008B1861" w:rsidRPr="008B1861">
        <w:rPr>
          <w:sz w:val="24"/>
          <w:szCs w:val="24"/>
        </w:rPr>
        <w:t xml:space="preserve"> sources</w:t>
      </w:r>
      <w:r w:rsidR="00E87610">
        <w:rPr>
          <w:sz w:val="24"/>
          <w:szCs w:val="24"/>
        </w:rPr>
        <w:t xml:space="preserve"> concernées</w:t>
      </w:r>
      <w:r w:rsidR="008B1861" w:rsidRPr="008B1861">
        <w:rPr>
          <w:sz w:val="24"/>
          <w:szCs w:val="24"/>
        </w:rPr>
        <w:t>.</w:t>
      </w:r>
    </w:p>
    <w:p w:rsidR="00680025" w:rsidRPr="00680025" w:rsidRDefault="00680025" w:rsidP="00680025">
      <w:pPr>
        <w:jc w:val="both"/>
        <w:rPr>
          <w:b/>
          <w:bCs/>
          <w:sz w:val="24"/>
          <w:szCs w:val="24"/>
        </w:rPr>
      </w:pPr>
      <w:r w:rsidRPr="00680025">
        <w:rPr>
          <w:b/>
          <w:bCs/>
          <w:sz w:val="24"/>
          <w:szCs w:val="24"/>
        </w:rPr>
        <w:t xml:space="preserve">3. Le </w:t>
      </w:r>
      <w:r>
        <w:rPr>
          <w:b/>
          <w:bCs/>
          <w:sz w:val="24"/>
          <w:szCs w:val="24"/>
        </w:rPr>
        <w:t xml:space="preserve">Ministère de l'Intérieur </w:t>
      </w:r>
      <w:r w:rsidRPr="00680025">
        <w:rPr>
          <w:b/>
          <w:bCs/>
          <w:sz w:val="24"/>
          <w:szCs w:val="24"/>
        </w:rPr>
        <w:t>:</w:t>
      </w:r>
    </w:p>
    <w:p w:rsidR="00680025" w:rsidRPr="00680025" w:rsidRDefault="00680025" w:rsidP="00680025">
      <w:pPr>
        <w:jc w:val="both"/>
        <w:rPr>
          <w:sz w:val="24"/>
          <w:szCs w:val="24"/>
        </w:rPr>
      </w:pPr>
      <w:r>
        <w:rPr>
          <w:sz w:val="24"/>
          <w:szCs w:val="24"/>
        </w:rPr>
        <w:t>• A réactiver</w:t>
      </w:r>
      <w:r w:rsidRPr="00680025">
        <w:rPr>
          <w:sz w:val="24"/>
          <w:szCs w:val="24"/>
        </w:rPr>
        <w:t xml:space="preserve"> le rôle de la Cellule de Crise en son sein au vu des</w:t>
      </w:r>
      <w:r>
        <w:rPr>
          <w:sz w:val="24"/>
          <w:szCs w:val="24"/>
        </w:rPr>
        <w:t xml:space="preserve"> manquements apparent</w:t>
      </w:r>
      <w:r w:rsidRPr="00680025">
        <w:rPr>
          <w:sz w:val="24"/>
          <w:szCs w:val="24"/>
        </w:rPr>
        <w:t>s de son travail et appel</w:t>
      </w:r>
      <w:r>
        <w:rPr>
          <w:sz w:val="24"/>
          <w:szCs w:val="24"/>
        </w:rPr>
        <w:t>le</w:t>
      </w:r>
      <w:r w:rsidRPr="00680025">
        <w:rPr>
          <w:sz w:val="24"/>
          <w:szCs w:val="24"/>
        </w:rPr>
        <w:t xml:space="preserve"> ses membres à davantage de coopération afin d'assurer l'efficacité du partenariat que le Ministère a noué depuis 2017avec le Syndicat National des Journalistes Tunisiens, dans le cadre de l'engagement de l'État dans son rôle de protection de la liberté de la presse.</w:t>
      </w:r>
    </w:p>
    <w:p w:rsidR="00680025" w:rsidRPr="00680025" w:rsidRDefault="00680025" w:rsidP="00680025">
      <w:pPr>
        <w:jc w:val="both"/>
        <w:rPr>
          <w:b/>
          <w:bCs/>
          <w:sz w:val="24"/>
          <w:szCs w:val="24"/>
        </w:rPr>
      </w:pPr>
      <w:r w:rsidRPr="00680025">
        <w:rPr>
          <w:b/>
          <w:bCs/>
          <w:sz w:val="24"/>
          <w:szCs w:val="24"/>
        </w:rPr>
        <w:t>4. Les organismes politiques et civils</w:t>
      </w:r>
      <w:r w:rsidRPr="00680025">
        <w:rPr>
          <w:b/>
          <w:bCs/>
          <w:sz w:val="24"/>
          <w:szCs w:val="24"/>
        </w:rPr>
        <w:t xml:space="preserve"> :</w:t>
      </w:r>
    </w:p>
    <w:p w:rsidR="00680025" w:rsidRDefault="00680025" w:rsidP="00680025">
      <w:pPr>
        <w:jc w:val="both"/>
        <w:rPr>
          <w:sz w:val="24"/>
          <w:szCs w:val="24"/>
        </w:rPr>
      </w:pPr>
      <w:r w:rsidRPr="00680025">
        <w:rPr>
          <w:sz w:val="24"/>
          <w:szCs w:val="24"/>
        </w:rPr>
        <w:t xml:space="preserve">• </w:t>
      </w:r>
      <w:r>
        <w:rPr>
          <w:sz w:val="24"/>
          <w:szCs w:val="24"/>
        </w:rPr>
        <w:t>A r</w:t>
      </w:r>
      <w:r w:rsidRPr="00680025">
        <w:rPr>
          <w:sz w:val="24"/>
          <w:szCs w:val="24"/>
        </w:rPr>
        <w:t xml:space="preserve">ompre avec les discours d'incitation à la violence et à la haine contre les journalistes, </w:t>
      </w:r>
      <w:r>
        <w:rPr>
          <w:sz w:val="24"/>
          <w:szCs w:val="24"/>
        </w:rPr>
        <w:t xml:space="preserve">à </w:t>
      </w:r>
      <w:r w:rsidRPr="00680025">
        <w:rPr>
          <w:sz w:val="24"/>
          <w:szCs w:val="24"/>
        </w:rPr>
        <w:t>rompre avec les attaques et ciblage des journalistes, et</w:t>
      </w:r>
      <w:r>
        <w:rPr>
          <w:sz w:val="24"/>
          <w:szCs w:val="24"/>
        </w:rPr>
        <w:t xml:space="preserve"> à</w:t>
      </w:r>
      <w:r w:rsidRPr="00680025">
        <w:rPr>
          <w:sz w:val="24"/>
          <w:szCs w:val="24"/>
        </w:rPr>
        <w:t xml:space="preserve"> s'engager à privilégier un climat fondé sur la liberté d'expression et la critique constructive.</w:t>
      </w:r>
    </w:p>
    <w:p w:rsidR="00EB7FFE" w:rsidRPr="00EB7FFE" w:rsidRDefault="00EB7FFE" w:rsidP="00EB7FFE">
      <w:pPr>
        <w:jc w:val="both"/>
        <w:rPr>
          <w:b/>
          <w:bCs/>
          <w:sz w:val="24"/>
          <w:szCs w:val="24"/>
        </w:rPr>
      </w:pPr>
      <w:r>
        <w:rPr>
          <w:b/>
          <w:bCs/>
          <w:sz w:val="24"/>
          <w:szCs w:val="24"/>
        </w:rPr>
        <w:t>5. Les j</w:t>
      </w:r>
      <w:r w:rsidRPr="00EB7FFE">
        <w:rPr>
          <w:b/>
          <w:bCs/>
          <w:sz w:val="24"/>
          <w:szCs w:val="24"/>
        </w:rPr>
        <w:t>ournalis</w:t>
      </w:r>
      <w:r>
        <w:rPr>
          <w:b/>
          <w:bCs/>
          <w:sz w:val="24"/>
          <w:szCs w:val="24"/>
        </w:rPr>
        <w:t>tes et photojournalistes, hommes et femmes</w:t>
      </w:r>
      <w:r w:rsidRPr="00EB7FFE">
        <w:rPr>
          <w:b/>
          <w:bCs/>
          <w:sz w:val="24"/>
          <w:szCs w:val="24"/>
        </w:rPr>
        <w:t xml:space="preserve"> :</w:t>
      </w:r>
    </w:p>
    <w:p w:rsidR="00EB7FFE" w:rsidRPr="00EB7FFE" w:rsidRDefault="00EB7FFE" w:rsidP="00EB7FFE">
      <w:pPr>
        <w:jc w:val="both"/>
        <w:rPr>
          <w:sz w:val="24"/>
          <w:szCs w:val="24"/>
        </w:rPr>
      </w:pPr>
      <w:r>
        <w:rPr>
          <w:sz w:val="24"/>
          <w:szCs w:val="24"/>
        </w:rPr>
        <w:t xml:space="preserve">• A porter plainte auprès de l’Unité de Monitoring </w:t>
      </w:r>
      <w:r w:rsidRPr="00EB7FFE">
        <w:rPr>
          <w:sz w:val="24"/>
          <w:szCs w:val="24"/>
        </w:rPr>
        <w:t>du Centre de Sécurité Professionnelle du Syndicat National des Journalistes Tunisiens de toutes les agressions qui les affectent dans l'exercice de leurs fonctions.</w:t>
      </w:r>
    </w:p>
    <w:p w:rsidR="00EB7FFE" w:rsidRPr="00405BB2" w:rsidRDefault="00405BB2" w:rsidP="00405BB2">
      <w:pPr>
        <w:jc w:val="both"/>
        <w:rPr>
          <w:sz w:val="24"/>
          <w:szCs w:val="24"/>
        </w:rPr>
      </w:pPr>
      <w:r>
        <w:rPr>
          <w:sz w:val="24"/>
          <w:szCs w:val="24"/>
        </w:rPr>
        <w:lastRenderedPageBreak/>
        <w:t xml:space="preserve">• </w:t>
      </w:r>
      <w:r w:rsidRPr="00405BB2">
        <w:rPr>
          <w:sz w:val="24"/>
          <w:szCs w:val="24"/>
        </w:rPr>
        <w:t>A p</w:t>
      </w:r>
      <w:r w:rsidR="00EB7FFE" w:rsidRPr="00405BB2">
        <w:rPr>
          <w:sz w:val="24"/>
          <w:szCs w:val="24"/>
        </w:rPr>
        <w:t xml:space="preserve">orter plainte auprès de la justice contre quiconque </w:t>
      </w:r>
      <w:r>
        <w:rPr>
          <w:sz w:val="24"/>
          <w:szCs w:val="24"/>
        </w:rPr>
        <w:t xml:space="preserve">qui </w:t>
      </w:r>
      <w:r w:rsidR="00EB7FFE" w:rsidRPr="00405BB2">
        <w:rPr>
          <w:sz w:val="24"/>
          <w:szCs w:val="24"/>
        </w:rPr>
        <w:t xml:space="preserve">diffuse un discours d'incitation à la violence et à la haine, et quiconque </w:t>
      </w:r>
      <w:r>
        <w:rPr>
          <w:sz w:val="24"/>
          <w:szCs w:val="24"/>
        </w:rPr>
        <w:t xml:space="preserve">qui </w:t>
      </w:r>
      <w:r w:rsidR="00EB7FFE" w:rsidRPr="00405BB2">
        <w:rPr>
          <w:sz w:val="24"/>
          <w:szCs w:val="24"/>
        </w:rPr>
        <w:t>se livre à des violences physiques et morales à leur encontre.</w:t>
      </w:r>
    </w:p>
    <w:p w:rsidR="00EB7FFE" w:rsidRPr="00EB7FFE" w:rsidRDefault="00EB7FFE" w:rsidP="00EB7FFE">
      <w:pPr>
        <w:jc w:val="both"/>
        <w:rPr>
          <w:sz w:val="24"/>
          <w:szCs w:val="24"/>
        </w:rPr>
      </w:pPr>
    </w:p>
    <w:p w:rsidR="00EB7FFE" w:rsidRPr="00EB7FFE" w:rsidRDefault="00EB7FFE" w:rsidP="00EB7FFE">
      <w:pPr>
        <w:jc w:val="both"/>
        <w:rPr>
          <w:sz w:val="24"/>
          <w:szCs w:val="24"/>
        </w:rPr>
      </w:pPr>
    </w:p>
    <w:p w:rsidR="00EB7FFE" w:rsidRPr="00405BB2" w:rsidRDefault="00EB7FFE" w:rsidP="00405BB2">
      <w:pPr>
        <w:jc w:val="center"/>
        <w:rPr>
          <w:b/>
          <w:bCs/>
          <w:sz w:val="24"/>
          <w:szCs w:val="24"/>
        </w:rPr>
      </w:pPr>
      <w:bookmarkStart w:id="0" w:name="_GoBack"/>
      <w:r w:rsidRPr="00405BB2">
        <w:rPr>
          <w:b/>
          <w:bCs/>
          <w:sz w:val="24"/>
          <w:szCs w:val="24"/>
        </w:rPr>
        <w:t>Ce rapport a été réalisé dans le cadre d'un programme mis en œuvre en partenariat avec :</w:t>
      </w:r>
    </w:p>
    <w:p w:rsidR="00680025" w:rsidRPr="00405BB2" w:rsidRDefault="00EB7FFE" w:rsidP="00405BB2">
      <w:pPr>
        <w:jc w:val="center"/>
        <w:rPr>
          <w:b/>
          <w:bCs/>
          <w:sz w:val="24"/>
          <w:szCs w:val="24"/>
        </w:rPr>
      </w:pPr>
      <w:r w:rsidRPr="00405BB2">
        <w:rPr>
          <w:b/>
          <w:bCs/>
          <w:sz w:val="24"/>
          <w:szCs w:val="24"/>
        </w:rPr>
        <w:t>UNESCO</w:t>
      </w:r>
      <w:bookmarkEnd w:id="0"/>
    </w:p>
    <w:sectPr w:rsidR="00680025" w:rsidRPr="00405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E4800"/>
    <w:multiLevelType w:val="hybridMultilevel"/>
    <w:tmpl w:val="EED03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AD"/>
    <w:rsid w:val="002A075F"/>
    <w:rsid w:val="003C6CAD"/>
    <w:rsid w:val="00405BB2"/>
    <w:rsid w:val="005738ED"/>
    <w:rsid w:val="005E11D9"/>
    <w:rsid w:val="00680025"/>
    <w:rsid w:val="006E72D0"/>
    <w:rsid w:val="008B1861"/>
    <w:rsid w:val="00CE4509"/>
    <w:rsid w:val="00D64D8D"/>
    <w:rsid w:val="00D7105C"/>
    <w:rsid w:val="00E44D73"/>
    <w:rsid w:val="00E87610"/>
    <w:rsid w:val="00EB7FFE"/>
    <w:rsid w:val="00F408E9"/>
    <w:rsid w:val="00FA65E6"/>
    <w:rsid w:val="00FE5A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53B4A-CED5-491E-8731-980D7F601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64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05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61A9-86DC-47AA-86B4-5E2D5A217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761</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2022-10-27T11:28:00Z</dcterms:created>
  <dcterms:modified xsi:type="dcterms:W3CDTF">2022-10-27T18:15:00Z</dcterms:modified>
</cp:coreProperties>
</file>